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3" w:type="dxa"/>
        <w:tblInd w:w="-72" w:type="dxa"/>
        <w:tblLayout w:type="fixed"/>
        <w:tblLook w:val="00A0" w:firstRow="1" w:lastRow="0" w:firstColumn="1" w:lastColumn="0" w:noHBand="0" w:noVBand="0"/>
      </w:tblPr>
      <w:tblGrid>
        <w:gridCol w:w="2250"/>
        <w:gridCol w:w="2070"/>
        <w:gridCol w:w="1811"/>
        <w:gridCol w:w="4061"/>
        <w:gridCol w:w="11"/>
      </w:tblGrid>
      <w:tr w:rsidR="0017759C" w14:paraId="36440233" w14:textId="77777777" w:rsidTr="00C45DB7">
        <w:tc>
          <w:tcPr>
            <w:tcW w:w="4320" w:type="dxa"/>
            <w:gridSpan w:val="2"/>
            <w:shd w:val="clear" w:color="auto" w:fill="auto"/>
          </w:tcPr>
          <w:p w14:paraId="5DD2C095" w14:textId="2EA67BE3" w:rsidR="0017759C" w:rsidRDefault="00A23C40" w:rsidP="0017759C">
            <w:r>
              <w:rPr>
                <w:noProof/>
              </w:rPr>
              <w:drawing>
                <wp:inline distT="0" distB="0" distL="0" distR="0" wp14:anchorId="1263B775" wp14:editId="37A0CB5D">
                  <wp:extent cx="2562225" cy="457200"/>
                  <wp:effectExtent l="0" t="0" r="3175" b="0"/>
                  <wp:docPr id="1" name="Picture 1" descr="public_health_horizontal_maro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health_horizontal_maro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inline>
              </w:drawing>
            </w:r>
          </w:p>
        </w:tc>
        <w:tc>
          <w:tcPr>
            <w:tcW w:w="5883" w:type="dxa"/>
            <w:gridSpan w:val="3"/>
            <w:shd w:val="clear" w:color="auto" w:fill="auto"/>
            <w:vAlign w:val="center"/>
          </w:tcPr>
          <w:p w14:paraId="79330B43" w14:textId="77777777" w:rsidR="0017759C" w:rsidRPr="009A7FCC" w:rsidRDefault="0017759C" w:rsidP="009A7FCC">
            <w:pPr>
              <w:jc w:val="center"/>
              <w:rPr>
                <w:sz w:val="52"/>
              </w:rPr>
            </w:pPr>
            <w:r w:rsidRPr="009A7FCC">
              <w:rPr>
                <w:sz w:val="52"/>
              </w:rPr>
              <w:t>SYLLABUS</w:t>
            </w:r>
          </w:p>
        </w:tc>
      </w:tr>
      <w:tr w:rsidR="0017759C" w:rsidRPr="009A7FCC" w14:paraId="4B0F0099" w14:textId="77777777" w:rsidTr="00C45DB7">
        <w:tc>
          <w:tcPr>
            <w:tcW w:w="10203" w:type="dxa"/>
            <w:gridSpan w:val="5"/>
            <w:shd w:val="pct90" w:color="auto" w:fill="auto"/>
          </w:tcPr>
          <w:p w14:paraId="6A1537EA" w14:textId="77777777" w:rsidR="0017759C" w:rsidRPr="009A7FCC" w:rsidRDefault="0017759C">
            <w:pPr>
              <w:rPr>
                <w:sz w:val="10"/>
              </w:rPr>
            </w:pPr>
          </w:p>
        </w:tc>
      </w:tr>
      <w:tr w:rsidR="00396748" w:rsidRPr="009A7FCC" w14:paraId="4650E438" w14:textId="77777777" w:rsidTr="00C45DB7">
        <w:tc>
          <w:tcPr>
            <w:tcW w:w="10203" w:type="dxa"/>
            <w:gridSpan w:val="5"/>
            <w:shd w:val="clear" w:color="auto" w:fill="auto"/>
          </w:tcPr>
          <w:p w14:paraId="1996B956" w14:textId="77777777" w:rsidR="00396748" w:rsidRPr="009A7FCC" w:rsidRDefault="00396748" w:rsidP="006F1AEA">
            <w:pPr>
              <w:rPr>
                <w:sz w:val="20"/>
              </w:rPr>
            </w:pPr>
          </w:p>
        </w:tc>
      </w:tr>
      <w:tr w:rsidR="0017759C" w:rsidRPr="009A7FCC" w14:paraId="1F3EC0DE" w14:textId="77777777" w:rsidTr="00C45DB7">
        <w:trPr>
          <w:trHeight w:val="89"/>
        </w:trPr>
        <w:tc>
          <w:tcPr>
            <w:tcW w:w="10203" w:type="dxa"/>
            <w:gridSpan w:val="5"/>
            <w:shd w:val="clear" w:color="auto" w:fill="auto"/>
          </w:tcPr>
          <w:tbl>
            <w:tblPr>
              <w:tblW w:w="10507" w:type="dxa"/>
              <w:tblLayout w:type="fixed"/>
              <w:tblLook w:val="00A0" w:firstRow="1" w:lastRow="0" w:firstColumn="1" w:lastColumn="0" w:noHBand="0" w:noVBand="0"/>
            </w:tblPr>
            <w:tblGrid>
              <w:gridCol w:w="7075"/>
              <w:gridCol w:w="2915"/>
              <w:gridCol w:w="517"/>
            </w:tblGrid>
            <w:tr w:rsidR="0096675C" w:rsidRPr="009A7FCC" w14:paraId="23E49A97" w14:textId="77777777" w:rsidTr="00250842">
              <w:trPr>
                <w:gridAfter w:val="1"/>
                <w:wAfter w:w="517" w:type="dxa"/>
              </w:trPr>
              <w:tc>
                <w:tcPr>
                  <w:tcW w:w="99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850193A" w14:textId="77777777" w:rsidR="0096675C" w:rsidRPr="009A7FCC" w:rsidRDefault="0096675C" w:rsidP="0096675C">
                  <w:pPr>
                    <w:rPr>
                      <w:rFonts w:ascii="Arial" w:hAnsi="Arial" w:cs="Arial"/>
                      <w:b/>
                      <w:sz w:val="20"/>
                    </w:rPr>
                  </w:pPr>
                  <w:r w:rsidRPr="009A7FCC">
                    <w:rPr>
                      <w:rFonts w:ascii="Arial" w:hAnsi="Arial" w:cs="Arial"/>
                      <w:b/>
                      <w:sz w:val="20"/>
                    </w:rPr>
                    <w:t>Instructor Information</w:t>
                  </w:r>
                </w:p>
              </w:tc>
            </w:tr>
            <w:tr w:rsidR="0096675C" w:rsidRPr="009A7FCC" w14:paraId="14B4C195" w14:textId="77777777" w:rsidTr="00250842">
              <w:trPr>
                <w:gridAfter w:val="1"/>
                <w:wAfter w:w="517" w:type="dxa"/>
                <w:trHeight w:val="89"/>
              </w:trPr>
              <w:tc>
                <w:tcPr>
                  <w:tcW w:w="9990" w:type="dxa"/>
                  <w:gridSpan w:val="2"/>
                  <w:tcBorders>
                    <w:top w:val="single" w:sz="4" w:space="0" w:color="auto"/>
                  </w:tcBorders>
                  <w:shd w:val="clear" w:color="auto" w:fill="auto"/>
                </w:tcPr>
                <w:p w14:paraId="140B6880" w14:textId="77777777" w:rsidR="0096675C" w:rsidRPr="009A7FCC" w:rsidRDefault="0096675C" w:rsidP="0096675C">
                  <w:pPr>
                    <w:rPr>
                      <w:rFonts w:ascii="Arial" w:hAnsi="Arial" w:cs="Arial"/>
                      <w:sz w:val="10"/>
                    </w:rPr>
                  </w:pPr>
                </w:p>
              </w:tc>
            </w:tr>
            <w:tr w:rsidR="00D47A24" w:rsidRPr="009A7FCC" w14:paraId="42748D5B" w14:textId="77777777" w:rsidTr="004D10AC">
              <w:trPr>
                <w:trHeight w:val="288"/>
              </w:trPr>
              <w:tc>
                <w:tcPr>
                  <w:tcW w:w="7075" w:type="dxa"/>
                  <w:shd w:val="clear" w:color="auto" w:fill="auto"/>
                  <w:vAlign w:val="center"/>
                </w:tcPr>
                <w:p w14:paraId="757324C0" w14:textId="4764C024" w:rsidR="00D47A24" w:rsidRPr="009A7FCC" w:rsidRDefault="004B51EC" w:rsidP="0053768D">
                  <w:pPr>
                    <w:rPr>
                      <w:rFonts w:ascii="Arial" w:hAnsi="Arial" w:cs="Arial"/>
                      <w:sz w:val="20"/>
                    </w:rPr>
                  </w:pPr>
                  <w:r>
                    <w:rPr>
                      <w:rFonts w:ascii="Arial" w:hAnsi="Arial" w:cs="Arial"/>
                      <w:sz w:val="20"/>
                    </w:rPr>
                    <w:t>PHPM 6</w:t>
                  </w:r>
                  <w:r w:rsidR="0053768D">
                    <w:rPr>
                      <w:rFonts w:ascii="Arial" w:hAnsi="Arial" w:cs="Arial"/>
                      <w:sz w:val="20"/>
                    </w:rPr>
                    <w:t>55</w:t>
                  </w:r>
                  <w:r w:rsidR="00D47A24">
                    <w:rPr>
                      <w:rFonts w:ascii="Arial" w:hAnsi="Arial" w:cs="Arial"/>
                      <w:sz w:val="20"/>
                    </w:rPr>
                    <w:t xml:space="preserve">: </w:t>
                  </w:r>
                  <w:r w:rsidR="004D10AC">
                    <w:rPr>
                      <w:rFonts w:ascii="Arial" w:hAnsi="Arial" w:cs="Arial"/>
                      <w:sz w:val="20"/>
                    </w:rPr>
                    <w:t xml:space="preserve">Survey Design for </w:t>
                  </w:r>
                  <w:r w:rsidR="0053768D">
                    <w:rPr>
                      <w:rFonts w:ascii="Arial" w:hAnsi="Arial" w:cs="Arial"/>
                      <w:sz w:val="20"/>
                    </w:rPr>
                    <w:t>Public Health</w:t>
                  </w:r>
                  <w:r w:rsidR="004D10AC">
                    <w:rPr>
                      <w:rFonts w:ascii="Arial" w:hAnsi="Arial" w:cs="Arial"/>
                      <w:sz w:val="20"/>
                    </w:rPr>
                    <w:t xml:space="preserve"> Research and Practice</w:t>
                  </w:r>
                </w:p>
              </w:tc>
              <w:tc>
                <w:tcPr>
                  <w:tcW w:w="3432" w:type="dxa"/>
                  <w:gridSpan w:val="2"/>
                  <w:shd w:val="clear" w:color="auto" w:fill="auto"/>
                </w:tcPr>
                <w:p w14:paraId="5D55DFB8" w14:textId="77777777" w:rsidR="00D47A24" w:rsidRPr="009A7FCC" w:rsidRDefault="00D47A24" w:rsidP="00D47A24">
                  <w:pPr>
                    <w:rPr>
                      <w:rFonts w:ascii="Arial" w:hAnsi="Arial" w:cs="Arial"/>
                      <w:sz w:val="20"/>
                    </w:rPr>
                  </w:pPr>
                  <w:r>
                    <w:rPr>
                      <w:rFonts w:ascii="Arial" w:hAnsi="Arial" w:cs="Arial"/>
                      <w:sz w:val="20"/>
                    </w:rPr>
                    <w:fldChar w:fldCharType="begin">
                      <w:ffData>
                        <w:name w:val="Text81"/>
                        <w:enabled/>
                        <w:calcOnExit w:val="0"/>
                        <w:textInput/>
                      </w:ffData>
                    </w:fldChar>
                  </w:r>
                  <w:bookmarkStart w:id="0"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D47A24" w:rsidRPr="009A7FCC" w14:paraId="74FD3250" w14:textId="77777777" w:rsidTr="004D10AC">
              <w:trPr>
                <w:trHeight w:val="288"/>
              </w:trPr>
              <w:tc>
                <w:tcPr>
                  <w:tcW w:w="7075" w:type="dxa"/>
                  <w:shd w:val="clear" w:color="auto" w:fill="auto"/>
                  <w:vAlign w:val="center"/>
                </w:tcPr>
                <w:p w14:paraId="0C5FAB09" w14:textId="502C1399" w:rsidR="00D47A24" w:rsidRPr="009A7FCC" w:rsidRDefault="00D47A24" w:rsidP="004D10AC">
                  <w:pPr>
                    <w:rPr>
                      <w:rFonts w:ascii="Arial" w:hAnsi="Arial" w:cs="Arial"/>
                      <w:sz w:val="20"/>
                    </w:rPr>
                  </w:pPr>
                  <w:r>
                    <w:rPr>
                      <w:rFonts w:ascii="Arial" w:hAnsi="Arial" w:cs="Arial"/>
                      <w:sz w:val="20"/>
                    </w:rPr>
                    <w:t>Term (</w:t>
                  </w:r>
                  <w:r w:rsidRPr="009A7FCC">
                    <w:rPr>
                      <w:rFonts w:ascii="Arial" w:hAnsi="Arial" w:cs="Arial"/>
                      <w:sz w:val="20"/>
                    </w:rPr>
                    <w:t>Fall 20</w:t>
                  </w:r>
                  <w:r>
                    <w:rPr>
                      <w:rFonts w:ascii="Arial" w:hAnsi="Arial" w:cs="Arial"/>
                      <w:sz w:val="20"/>
                    </w:rPr>
                    <w:t>1</w:t>
                  </w:r>
                  <w:r w:rsidR="004D10AC">
                    <w:rPr>
                      <w:rFonts w:ascii="Arial" w:hAnsi="Arial" w:cs="Arial"/>
                      <w:sz w:val="20"/>
                    </w:rPr>
                    <w:t>9</w:t>
                  </w:r>
                  <w:r w:rsidRPr="009A7FCC">
                    <w:rPr>
                      <w:rFonts w:ascii="Arial" w:hAnsi="Arial" w:cs="Arial"/>
                      <w:sz w:val="20"/>
                    </w:rPr>
                    <w:t>)</w:t>
                  </w:r>
                </w:p>
              </w:tc>
              <w:tc>
                <w:tcPr>
                  <w:tcW w:w="3432" w:type="dxa"/>
                  <w:gridSpan w:val="2"/>
                  <w:shd w:val="clear" w:color="auto" w:fill="auto"/>
                </w:tcPr>
                <w:p w14:paraId="4D313CFA" w14:textId="77777777" w:rsidR="00D47A24" w:rsidRPr="009A7FCC" w:rsidRDefault="00D47A24" w:rsidP="00D47A24">
                  <w:pPr>
                    <w:rPr>
                      <w:rFonts w:ascii="Arial" w:hAnsi="Arial" w:cs="Arial"/>
                      <w:sz w:val="20"/>
                    </w:rPr>
                  </w:pPr>
                  <w:r>
                    <w:rPr>
                      <w:rFonts w:ascii="Arial" w:hAnsi="Arial" w:cs="Arial"/>
                      <w:sz w:val="20"/>
                    </w:rPr>
                    <w:fldChar w:fldCharType="begin">
                      <w:ffData>
                        <w:name w:val="Text82"/>
                        <w:enabled/>
                        <w:calcOnExit w:val="0"/>
                        <w:textInput/>
                      </w:ffData>
                    </w:fldChar>
                  </w:r>
                  <w:bookmarkStart w:id="1"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D47A24" w:rsidRPr="009A7FCC" w14:paraId="21F73D60" w14:textId="77777777" w:rsidTr="004D10AC">
              <w:trPr>
                <w:trHeight w:val="288"/>
              </w:trPr>
              <w:tc>
                <w:tcPr>
                  <w:tcW w:w="7075" w:type="dxa"/>
                  <w:shd w:val="clear" w:color="auto" w:fill="auto"/>
                  <w:vAlign w:val="center"/>
                </w:tcPr>
                <w:p w14:paraId="30800BB1" w14:textId="00B62D57" w:rsidR="00D47A24" w:rsidRPr="009A7FCC" w:rsidRDefault="00D47A24" w:rsidP="004B51EC">
                  <w:pPr>
                    <w:rPr>
                      <w:rFonts w:ascii="Arial" w:hAnsi="Arial" w:cs="Arial"/>
                      <w:sz w:val="20"/>
                    </w:rPr>
                  </w:pPr>
                  <w:r>
                    <w:rPr>
                      <w:rFonts w:ascii="Arial" w:hAnsi="Arial" w:cs="Arial"/>
                      <w:sz w:val="20"/>
                    </w:rPr>
                    <w:t>SPH Classroom Building 1</w:t>
                  </w:r>
                  <w:r w:rsidR="004B51EC">
                    <w:rPr>
                      <w:rFonts w:ascii="Arial" w:hAnsi="Arial" w:cs="Arial"/>
                      <w:sz w:val="20"/>
                    </w:rPr>
                    <w:t>08</w:t>
                  </w:r>
                </w:p>
              </w:tc>
              <w:tc>
                <w:tcPr>
                  <w:tcW w:w="3432" w:type="dxa"/>
                  <w:gridSpan w:val="2"/>
                  <w:shd w:val="clear" w:color="auto" w:fill="auto"/>
                </w:tcPr>
                <w:p w14:paraId="3B4D5D0B" w14:textId="77777777" w:rsidR="00D47A24" w:rsidRPr="009A7FCC" w:rsidRDefault="00D47A24" w:rsidP="00D47A24">
                  <w:pPr>
                    <w:rPr>
                      <w:rFonts w:ascii="Arial" w:hAnsi="Arial" w:cs="Arial"/>
                      <w:sz w:val="20"/>
                    </w:rPr>
                  </w:pPr>
                  <w:r>
                    <w:rPr>
                      <w:rFonts w:ascii="Arial" w:hAnsi="Arial" w:cs="Arial"/>
                      <w:sz w:val="20"/>
                    </w:rPr>
                    <w:fldChar w:fldCharType="begin">
                      <w:ffData>
                        <w:name w:val="Text83"/>
                        <w:enabled/>
                        <w:calcOnExit w:val="0"/>
                        <w:textInput/>
                      </w:ffData>
                    </w:fldChar>
                  </w:r>
                  <w:bookmarkStart w:id="2"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D47A24" w:rsidRPr="009A7FCC" w14:paraId="48AEE8C2" w14:textId="77777777" w:rsidTr="004D10AC">
              <w:trPr>
                <w:trHeight w:val="288"/>
              </w:trPr>
              <w:tc>
                <w:tcPr>
                  <w:tcW w:w="7075" w:type="dxa"/>
                  <w:shd w:val="clear" w:color="auto" w:fill="auto"/>
                  <w:vAlign w:val="center"/>
                </w:tcPr>
                <w:p w14:paraId="24FA3F34" w14:textId="77777777" w:rsidR="00D47A24" w:rsidRPr="009A7FCC" w:rsidRDefault="00D47A24" w:rsidP="00D47A24">
                  <w:pPr>
                    <w:rPr>
                      <w:rFonts w:ascii="Arial" w:hAnsi="Arial" w:cs="Arial"/>
                      <w:sz w:val="20"/>
                    </w:rPr>
                  </w:pPr>
                </w:p>
              </w:tc>
              <w:tc>
                <w:tcPr>
                  <w:tcW w:w="3432" w:type="dxa"/>
                  <w:gridSpan w:val="2"/>
                  <w:shd w:val="clear" w:color="auto" w:fill="auto"/>
                </w:tcPr>
                <w:p w14:paraId="2F5771A1" w14:textId="77777777" w:rsidR="00D47A24" w:rsidRPr="009A7FCC" w:rsidRDefault="00D47A24" w:rsidP="00D47A24">
                  <w:pPr>
                    <w:rPr>
                      <w:rFonts w:ascii="Arial" w:hAnsi="Arial" w:cs="Arial"/>
                      <w:sz w:val="20"/>
                    </w:rPr>
                  </w:pPr>
                </w:p>
              </w:tc>
            </w:tr>
            <w:tr w:rsidR="00D47A24" w:rsidRPr="009A7FCC" w14:paraId="37EE2D96" w14:textId="77777777" w:rsidTr="004D10AC">
              <w:trPr>
                <w:trHeight w:val="288"/>
              </w:trPr>
              <w:tc>
                <w:tcPr>
                  <w:tcW w:w="7075" w:type="dxa"/>
                  <w:shd w:val="clear" w:color="auto" w:fill="auto"/>
                  <w:vAlign w:val="center"/>
                </w:tcPr>
                <w:p w14:paraId="66BFF98E" w14:textId="77777777" w:rsidR="00D47A24" w:rsidRDefault="00D47A24" w:rsidP="00D47A24">
                  <w:pPr>
                    <w:rPr>
                      <w:rFonts w:ascii="Arial" w:hAnsi="Arial" w:cs="Arial"/>
                      <w:sz w:val="20"/>
                    </w:rPr>
                  </w:pPr>
                  <w:r>
                    <w:rPr>
                      <w:rFonts w:ascii="Arial" w:hAnsi="Arial" w:cs="Arial"/>
                      <w:sz w:val="20"/>
                    </w:rPr>
                    <w:t>Instructor: Timothy Callaghan, PhD</w:t>
                  </w:r>
                </w:p>
                <w:p w14:paraId="6DD5AD0D" w14:textId="77777777" w:rsidR="00D47A24" w:rsidRDefault="00D47A24" w:rsidP="00D47A24">
                  <w:pPr>
                    <w:rPr>
                      <w:rFonts w:ascii="Arial" w:hAnsi="Arial" w:cs="Arial"/>
                      <w:sz w:val="20"/>
                    </w:rPr>
                  </w:pPr>
                  <w:r>
                    <w:rPr>
                      <w:rFonts w:ascii="Arial" w:hAnsi="Arial" w:cs="Arial"/>
                      <w:sz w:val="20"/>
                    </w:rPr>
                    <w:t>Assistant Professor</w:t>
                  </w:r>
                </w:p>
                <w:p w14:paraId="395CBE37" w14:textId="77777777" w:rsidR="00D47A24" w:rsidRDefault="00D47A24" w:rsidP="00D47A24">
                  <w:pPr>
                    <w:rPr>
                      <w:rFonts w:ascii="Arial" w:hAnsi="Arial" w:cs="Arial"/>
                      <w:sz w:val="20"/>
                    </w:rPr>
                  </w:pPr>
                  <w:r>
                    <w:rPr>
                      <w:rFonts w:ascii="Arial" w:hAnsi="Arial" w:cs="Arial"/>
                      <w:sz w:val="20"/>
                    </w:rPr>
                    <w:t>Department of Health Policy and Management</w:t>
                  </w:r>
                </w:p>
                <w:p w14:paraId="792427F3" w14:textId="35FA0C70" w:rsidR="00D47A24" w:rsidRPr="009A7FCC" w:rsidRDefault="00D47A24" w:rsidP="00D47A24">
                  <w:pPr>
                    <w:rPr>
                      <w:rFonts w:ascii="Arial" w:hAnsi="Arial" w:cs="Arial"/>
                      <w:sz w:val="20"/>
                    </w:rPr>
                  </w:pPr>
                  <w:r>
                    <w:rPr>
                      <w:rFonts w:ascii="Arial" w:hAnsi="Arial" w:cs="Arial"/>
                      <w:sz w:val="20"/>
                    </w:rPr>
                    <w:t>SPH Administration Building, Rm. 122</w:t>
                  </w:r>
                </w:p>
              </w:tc>
              <w:tc>
                <w:tcPr>
                  <w:tcW w:w="3432" w:type="dxa"/>
                  <w:gridSpan w:val="2"/>
                  <w:shd w:val="clear" w:color="auto" w:fill="auto"/>
                </w:tcPr>
                <w:p w14:paraId="7B1D8E6F" w14:textId="77777777" w:rsidR="00D47A24" w:rsidRPr="009A7FCC" w:rsidRDefault="00D47A24" w:rsidP="00D47A24">
                  <w:pPr>
                    <w:rPr>
                      <w:rFonts w:ascii="Arial" w:hAnsi="Arial" w:cs="Arial"/>
                      <w:sz w:val="20"/>
                    </w:rPr>
                  </w:pPr>
                  <w:r>
                    <w:rPr>
                      <w:rFonts w:ascii="Arial" w:hAnsi="Arial" w:cs="Arial"/>
                      <w:sz w:val="20"/>
                    </w:rPr>
                    <w:fldChar w:fldCharType="begin">
                      <w:ffData>
                        <w:name w:val="Text84"/>
                        <w:enabled/>
                        <w:calcOnExit w:val="0"/>
                        <w:textInput/>
                      </w:ffData>
                    </w:fldChar>
                  </w:r>
                  <w:bookmarkStart w:id="3"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D47A24" w:rsidRPr="009A7FCC" w14:paraId="02037A87" w14:textId="77777777" w:rsidTr="004D10AC">
              <w:trPr>
                <w:trHeight w:val="288"/>
              </w:trPr>
              <w:tc>
                <w:tcPr>
                  <w:tcW w:w="7075" w:type="dxa"/>
                  <w:shd w:val="clear" w:color="auto" w:fill="auto"/>
                  <w:vAlign w:val="center"/>
                </w:tcPr>
                <w:p w14:paraId="4757B7AC" w14:textId="77777777" w:rsidR="00D47A24" w:rsidRDefault="00D47A24" w:rsidP="00D47A24">
                  <w:pPr>
                    <w:rPr>
                      <w:rFonts w:ascii="Arial" w:hAnsi="Arial" w:cs="Arial"/>
                      <w:sz w:val="20"/>
                    </w:rPr>
                  </w:pPr>
                </w:p>
              </w:tc>
              <w:tc>
                <w:tcPr>
                  <w:tcW w:w="3432" w:type="dxa"/>
                  <w:gridSpan w:val="2"/>
                  <w:shd w:val="clear" w:color="auto" w:fill="auto"/>
                </w:tcPr>
                <w:p w14:paraId="0B2E15B5" w14:textId="77777777" w:rsidR="00D47A24" w:rsidRPr="009A7FCC" w:rsidRDefault="00D47A24" w:rsidP="00D47A24">
                  <w:pPr>
                    <w:rPr>
                      <w:rFonts w:ascii="Arial" w:hAnsi="Arial" w:cs="Arial"/>
                      <w:sz w:val="20"/>
                    </w:rPr>
                  </w:pPr>
                </w:p>
              </w:tc>
            </w:tr>
            <w:tr w:rsidR="00D47A24" w:rsidRPr="009A7FCC" w14:paraId="38B800CA" w14:textId="77777777" w:rsidTr="004D10AC">
              <w:trPr>
                <w:trHeight w:val="288"/>
              </w:trPr>
              <w:tc>
                <w:tcPr>
                  <w:tcW w:w="7075" w:type="dxa"/>
                  <w:shd w:val="clear" w:color="auto" w:fill="auto"/>
                  <w:vAlign w:val="center"/>
                </w:tcPr>
                <w:p w14:paraId="5A80423E" w14:textId="49180A1F" w:rsidR="00D47A24" w:rsidRPr="009A7FCC" w:rsidRDefault="00D47A24" w:rsidP="00D47A24">
                  <w:pPr>
                    <w:rPr>
                      <w:rFonts w:ascii="Arial" w:hAnsi="Arial" w:cs="Arial"/>
                      <w:sz w:val="20"/>
                    </w:rPr>
                  </w:pPr>
                  <w:r w:rsidRPr="009A7FCC">
                    <w:rPr>
                      <w:rFonts w:ascii="Arial" w:hAnsi="Arial" w:cs="Arial"/>
                      <w:sz w:val="20"/>
                    </w:rPr>
                    <w:t>Telephone number</w:t>
                  </w:r>
                  <w:r>
                    <w:rPr>
                      <w:rFonts w:ascii="Arial" w:hAnsi="Arial" w:cs="Arial"/>
                      <w:sz w:val="20"/>
                    </w:rPr>
                    <w:t>: 979-436-0960</w:t>
                  </w:r>
                </w:p>
              </w:tc>
              <w:tc>
                <w:tcPr>
                  <w:tcW w:w="3432" w:type="dxa"/>
                  <w:gridSpan w:val="2"/>
                  <w:shd w:val="clear" w:color="auto" w:fill="auto"/>
                </w:tcPr>
                <w:p w14:paraId="057A1D05"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4"/>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6A938D3B" w14:textId="77777777" w:rsidTr="004D10AC">
              <w:trPr>
                <w:trHeight w:val="288"/>
              </w:trPr>
              <w:tc>
                <w:tcPr>
                  <w:tcW w:w="7075" w:type="dxa"/>
                  <w:shd w:val="clear" w:color="auto" w:fill="auto"/>
                  <w:vAlign w:val="center"/>
                </w:tcPr>
                <w:p w14:paraId="0603132A" w14:textId="2502F78A" w:rsidR="00D47A24" w:rsidRPr="009A7FCC" w:rsidRDefault="00D47A24" w:rsidP="00D47A24">
                  <w:pPr>
                    <w:rPr>
                      <w:rFonts w:ascii="Arial" w:hAnsi="Arial" w:cs="Arial"/>
                      <w:sz w:val="20"/>
                    </w:rPr>
                  </w:pPr>
                  <w:r w:rsidRPr="009A7FCC">
                    <w:rPr>
                      <w:rFonts w:ascii="Arial" w:hAnsi="Arial" w:cs="Arial"/>
                      <w:sz w:val="20"/>
                    </w:rPr>
                    <w:t>Email address</w:t>
                  </w:r>
                  <w:r>
                    <w:rPr>
                      <w:rFonts w:ascii="Arial" w:hAnsi="Arial" w:cs="Arial"/>
                      <w:sz w:val="20"/>
                    </w:rPr>
                    <w:t xml:space="preserve">: </w:t>
                  </w:r>
                  <w:hyperlink r:id="rId9" w:history="1">
                    <w:r w:rsidRPr="00320625">
                      <w:rPr>
                        <w:rStyle w:val="Hyperlink"/>
                        <w:rFonts w:ascii="Arial" w:hAnsi="Arial" w:cs="Arial"/>
                        <w:sz w:val="20"/>
                      </w:rPr>
                      <w:t>callaghan@sph.tamhsc.edu</w:t>
                    </w:r>
                  </w:hyperlink>
                </w:p>
              </w:tc>
              <w:tc>
                <w:tcPr>
                  <w:tcW w:w="3432" w:type="dxa"/>
                  <w:gridSpan w:val="2"/>
                  <w:shd w:val="clear" w:color="auto" w:fill="auto"/>
                </w:tcPr>
                <w:p w14:paraId="3F02D433"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6"/>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629BA4D6" w14:textId="77777777" w:rsidTr="004D10AC">
              <w:trPr>
                <w:trHeight w:val="288"/>
              </w:trPr>
              <w:tc>
                <w:tcPr>
                  <w:tcW w:w="7075" w:type="dxa"/>
                  <w:shd w:val="clear" w:color="auto" w:fill="auto"/>
                  <w:vAlign w:val="center"/>
                </w:tcPr>
                <w:p w14:paraId="399DEF12" w14:textId="74C66DEB" w:rsidR="00D47A24" w:rsidRPr="009A7FCC" w:rsidRDefault="00D47A24" w:rsidP="00D47A24">
                  <w:pPr>
                    <w:rPr>
                      <w:rFonts w:ascii="Arial" w:hAnsi="Arial" w:cs="Arial"/>
                      <w:sz w:val="20"/>
                    </w:rPr>
                  </w:pPr>
                  <w:r w:rsidRPr="009A7FCC">
                    <w:rPr>
                      <w:rFonts w:ascii="Arial" w:hAnsi="Arial" w:cs="Arial"/>
                      <w:sz w:val="20"/>
                    </w:rPr>
                    <w:t>Office hours</w:t>
                  </w:r>
                  <w:r>
                    <w:rPr>
                      <w:rFonts w:ascii="Arial" w:hAnsi="Arial" w:cs="Arial"/>
                      <w:sz w:val="20"/>
                    </w:rPr>
                    <w:t>: Thursday: 9-11am</w:t>
                  </w:r>
                </w:p>
              </w:tc>
              <w:tc>
                <w:tcPr>
                  <w:tcW w:w="3432" w:type="dxa"/>
                  <w:gridSpan w:val="2"/>
                  <w:shd w:val="clear" w:color="auto" w:fill="auto"/>
                </w:tcPr>
                <w:p w14:paraId="7AE948D2"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7"/>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360463B7" w14:textId="77777777" w:rsidTr="004D10AC">
              <w:trPr>
                <w:trHeight w:val="288"/>
              </w:trPr>
              <w:tc>
                <w:tcPr>
                  <w:tcW w:w="7075" w:type="dxa"/>
                  <w:shd w:val="clear" w:color="auto" w:fill="auto"/>
                  <w:vAlign w:val="center"/>
                </w:tcPr>
                <w:p w14:paraId="080F8C06" w14:textId="21555459" w:rsidR="00D47A24" w:rsidRPr="009A7FCC" w:rsidRDefault="00D47A24" w:rsidP="00D47A24">
                  <w:pPr>
                    <w:rPr>
                      <w:rFonts w:ascii="Arial" w:hAnsi="Arial" w:cs="Arial"/>
                      <w:sz w:val="20"/>
                    </w:rPr>
                  </w:pPr>
                  <w:r w:rsidRPr="009A7FCC">
                    <w:rPr>
                      <w:rFonts w:ascii="Arial" w:hAnsi="Arial" w:cs="Arial"/>
                      <w:sz w:val="20"/>
                    </w:rPr>
                    <w:t>Office location</w:t>
                  </w:r>
                  <w:r>
                    <w:rPr>
                      <w:rFonts w:ascii="Arial" w:hAnsi="Arial" w:cs="Arial"/>
                      <w:sz w:val="20"/>
                    </w:rPr>
                    <w:t>: SPH Admin. 122</w:t>
                  </w:r>
                </w:p>
              </w:tc>
              <w:tc>
                <w:tcPr>
                  <w:tcW w:w="3432" w:type="dxa"/>
                  <w:gridSpan w:val="2"/>
                  <w:shd w:val="clear" w:color="auto" w:fill="auto"/>
                </w:tcPr>
                <w:p w14:paraId="577B7355"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8"/>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r w:rsidR="00D47A24" w:rsidRPr="009A7FCC" w14:paraId="33FBE06B" w14:textId="77777777" w:rsidTr="004D10AC">
              <w:trPr>
                <w:trHeight w:val="288"/>
              </w:trPr>
              <w:tc>
                <w:tcPr>
                  <w:tcW w:w="7075" w:type="dxa"/>
                  <w:shd w:val="clear" w:color="auto" w:fill="auto"/>
                  <w:vAlign w:val="center"/>
                </w:tcPr>
                <w:p w14:paraId="6172232B" w14:textId="45F8B743" w:rsidR="00D47A24" w:rsidRPr="009A7FCC" w:rsidRDefault="00D47A24" w:rsidP="00D47A24">
                  <w:pPr>
                    <w:rPr>
                      <w:rFonts w:ascii="Arial" w:hAnsi="Arial" w:cs="Arial"/>
                      <w:sz w:val="20"/>
                    </w:rPr>
                  </w:pPr>
                </w:p>
              </w:tc>
              <w:tc>
                <w:tcPr>
                  <w:tcW w:w="3432" w:type="dxa"/>
                  <w:gridSpan w:val="2"/>
                  <w:shd w:val="clear" w:color="auto" w:fill="auto"/>
                </w:tcPr>
                <w:p w14:paraId="72BC1198" w14:textId="77777777" w:rsidR="00D47A24" w:rsidRPr="009A7FCC" w:rsidRDefault="00D47A24" w:rsidP="00D47A24">
                  <w:pPr>
                    <w:rPr>
                      <w:rFonts w:ascii="Arial" w:hAnsi="Arial" w:cs="Arial"/>
                      <w:sz w:val="20"/>
                    </w:rPr>
                  </w:pPr>
                  <w:r w:rsidRPr="009A7FCC">
                    <w:rPr>
                      <w:rFonts w:ascii="Arial" w:hAnsi="Arial" w:cs="Arial"/>
                      <w:sz w:val="20"/>
                    </w:rPr>
                    <w:fldChar w:fldCharType="begin">
                      <w:ffData>
                        <w:name w:val="Text25"/>
                        <w:enabled/>
                        <w:calcOnExit w:val="0"/>
                        <w:textInput/>
                      </w:ffData>
                    </w:fldChar>
                  </w:r>
                  <w:r w:rsidRPr="009A7FCC">
                    <w:rPr>
                      <w:rFonts w:ascii="Arial" w:hAnsi="Arial" w:cs="Arial"/>
                      <w:sz w:val="20"/>
                    </w:rPr>
                    <w:instrText xml:space="preserve"> FORMTEXT </w:instrText>
                  </w:r>
                  <w:r w:rsidRPr="009A7FCC">
                    <w:rPr>
                      <w:rFonts w:ascii="Arial" w:hAnsi="Arial" w:cs="Arial"/>
                      <w:sz w:val="20"/>
                    </w:rPr>
                  </w:r>
                  <w:r w:rsidRPr="009A7FC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9A7FCC">
                    <w:rPr>
                      <w:rFonts w:ascii="Arial" w:hAnsi="Arial" w:cs="Arial"/>
                      <w:sz w:val="20"/>
                    </w:rPr>
                    <w:fldChar w:fldCharType="end"/>
                  </w:r>
                </w:p>
              </w:tc>
            </w:tr>
          </w:tbl>
          <w:p w14:paraId="60DD276F" w14:textId="77777777" w:rsidR="0017759C" w:rsidRPr="009A7FCC" w:rsidRDefault="0017759C">
            <w:pPr>
              <w:rPr>
                <w:sz w:val="10"/>
              </w:rPr>
            </w:pPr>
          </w:p>
        </w:tc>
      </w:tr>
      <w:tr w:rsidR="00396748" w:rsidRPr="009A7FCC" w14:paraId="6A1DAF58" w14:textId="77777777" w:rsidTr="00C45DB7">
        <w:tc>
          <w:tcPr>
            <w:tcW w:w="10203" w:type="dxa"/>
            <w:gridSpan w:val="5"/>
            <w:tcBorders>
              <w:bottom w:val="single" w:sz="4" w:space="0" w:color="auto"/>
            </w:tcBorders>
            <w:shd w:val="clear" w:color="auto" w:fill="auto"/>
          </w:tcPr>
          <w:p w14:paraId="4579BB92" w14:textId="77777777" w:rsidR="00396748" w:rsidRPr="009A7FCC" w:rsidRDefault="00396748" w:rsidP="006F1AEA">
            <w:pPr>
              <w:rPr>
                <w:rFonts w:ascii="Arial" w:hAnsi="Arial" w:cs="Arial"/>
                <w:sz w:val="20"/>
              </w:rPr>
            </w:pPr>
          </w:p>
        </w:tc>
      </w:tr>
      <w:tr w:rsidR="006A74A2" w:rsidRPr="009A7FCC" w14:paraId="237D3D8E" w14:textId="77777777" w:rsidTr="00C45DB7">
        <w:tc>
          <w:tcPr>
            <w:tcW w:w="10203"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0FDCC4F9" w14:textId="77777777" w:rsidR="006A74A2" w:rsidRPr="009A7FCC" w:rsidRDefault="006A74A2" w:rsidP="00DB4B11">
            <w:pPr>
              <w:rPr>
                <w:rFonts w:ascii="Arial" w:hAnsi="Arial" w:cs="Arial"/>
                <w:b/>
                <w:sz w:val="20"/>
              </w:rPr>
            </w:pPr>
            <w:r w:rsidRPr="009A7FCC">
              <w:rPr>
                <w:rFonts w:ascii="Arial" w:hAnsi="Arial" w:cs="Arial"/>
                <w:b/>
                <w:sz w:val="20"/>
              </w:rPr>
              <w:t xml:space="preserve">Course Description </w:t>
            </w:r>
          </w:p>
        </w:tc>
      </w:tr>
      <w:tr w:rsidR="006A74A2" w:rsidRPr="009A7FCC" w14:paraId="5A62F053" w14:textId="77777777" w:rsidTr="00C45DB7">
        <w:trPr>
          <w:trHeight w:val="89"/>
        </w:trPr>
        <w:tc>
          <w:tcPr>
            <w:tcW w:w="10203" w:type="dxa"/>
            <w:gridSpan w:val="5"/>
            <w:tcBorders>
              <w:top w:val="single" w:sz="4" w:space="0" w:color="auto"/>
            </w:tcBorders>
            <w:shd w:val="clear" w:color="auto" w:fill="auto"/>
          </w:tcPr>
          <w:p w14:paraId="16AF33CD" w14:textId="77777777" w:rsidR="006A74A2" w:rsidRPr="009A7FCC" w:rsidRDefault="006A74A2" w:rsidP="006F1AEA">
            <w:pPr>
              <w:rPr>
                <w:rFonts w:ascii="Arial" w:hAnsi="Arial" w:cs="Arial"/>
                <w:sz w:val="10"/>
              </w:rPr>
            </w:pPr>
          </w:p>
        </w:tc>
      </w:tr>
      <w:tr w:rsidR="006A74A2" w:rsidRPr="009A7FCC" w14:paraId="72BEFA2B" w14:textId="77777777" w:rsidTr="00C45DB7">
        <w:tc>
          <w:tcPr>
            <w:tcW w:w="10203" w:type="dxa"/>
            <w:gridSpan w:val="5"/>
            <w:shd w:val="clear" w:color="auto" w:fill="auto"/>
          </w:tcPr>
          <w:p w14:paraId="20AA8A7A" w14:textId="77777777" w:rsidR="00CD54DD" w:rsidRDefault="00CD54DD" w:rsidP="00303D96">
            <w:pPr>
              <w:rPr>
                <w:rFonts w:ascii="Arial" w:hAnsi="Arial" w:cs="Arial"/>
                <w:sz w:val="20"/>
                <w:szCs w:val="20"/>
              </w:rPr>
            </w:pPr>
          </w:p>
          <w:p w14:paraId="4C21C2A9" w14:textId="628E61E1" w:rsidR="00D47A24" w:rsidRDefault="00D47A24" w:rsidP="00D47A24">
            <w:pPr>
              <w:rPr>
                <w:rStyle w:val="apple-converted-space"/>
                <w:rFonts w:ascii="Calibri" w:hAnsi="Calibri"/>
                <w:color w:val="332C2C"/>
                <w:sz w:val="20"/>
                <w:szCs w:val="20"/>
                <w:shd w:val="clear" w:color="auto" w:fill="FFFFFF"/>
              </w:rPr>
            </w:pPr>
            <w:r>
              <w:rPr>
                <w:rFonts w:ascii="Arial" w:hAnsi="Arial" w:cs="Arial"/>
                <w:sz w:val="20"/>
              </w:rPr>
              <w:t xml:space="preserve">Study of how </w:t>
            </w:r>
            <w:r w:rsidR="004D10AC">
              <w:rPr>
                <w:rFonts w:ascii="Arial" w:hAnsi="Arial" w:cs="Arial"/>
                <w:sz w:val="20"/>
              </w:rPr>
              <w:t xml:space="preserve">to measure </w:t>
            </w:r>
            <w:r w:rsidR="001C3C8D">
              <w:rPr>
                <w:rFonts w:ascii="Arial" w:hAnsi="Arial" w:cs="Arial"/>
                <w:sz w:val="20"/>
              </w:rPr>
              <w:t>phenomena</w:t>
            </w:r>
            <w:r w:rsidR="004D10AC">
              <w:rPr>
                <w:rFonts w:ascii="Arial" w:hAnsi="Arial" w:cs="Arial"/>
                <w:sz w:val="20"/>
              </w:rPr>
              <w:t xml:space="preserve"> in public health</w:t>
            </w:r>
            <w:r>
              <w:rPr>
                <w:rFonts w:ascii="Arial" w:hAnsi="Arial" w:cs="Arial"/>
                <w:sz w:val="20"/>
              </w:rPr>
              <w:t xml:space="preserve">; discussion of how </w:t>
            </w:r>
            <w:r w:rsidR="004D10AC">
              <w:rPr>
                <w:rFonts w:ascii="Arial" w:hAnsi="Arial" w:cs="Arial"/>
                <w:sz w:val="20"/>
              </w:rPr>
              <w:t>to design surveys in public health</w:t>
            </w:r>
            <w:r>
              <w:rPr>
                <w:rFonts w:ascii="Arial" w:hAnsi="Arial" w:cs="Arial"/>
                <w:sz w:val="20"/>
              </w:rPr>
              <w:t xml:space="preserve">; the identification of </w:t>
            </w:r>
            <w:r w:rsidR="004D10AC">
              <w:rPr>
                <w:rFonts w:ascii="Arial" w:hAnsi="Arial" w:cs="Arial"/>
                <w:sz w:val="20"/>
              </w:rPr>
              <w:t>limitations of survey research</w:t>
            </w:r>
            <w:r>
              <w:rPr>
                <w:rFonts w:ascii="Arial" w:hAnsi="Arial" w:cs="Arial"/>
                <w:sz w:val="20"/>
              </w:rPr>
              <w:t xml:space="preserve">; evaluation of how </w:t>
            </w:r>
            <w:r w:rsidR="004D10AC">
              <w:rPr>
                <w:rFonts w:ascii="Arial" w:hAnsi="Arial" w:cs="Arial"/>
                <w:sz w:val="20"/>
              </w:rPr>
              <w:t>survey design can be applied to answer public health questions</w:t>
            </w:r>
          </w:p>
          <w:p w14:paraId="16C3DB41" w14:textId="77777777" w:rsidR="00303D96" w:rsidRPr="00944ED3" w:rsidRDefault="00303D96" w:rsidP="00303D96">
            <w:pPr>
              <w:rPr>
                <w:rFonts w:ascii="Arial" w:hAnsi="Arial" w:cs="Arial"/>
                <w:sz w:val="20"/>
                <w:szCs w:val="20"/>
              </w:rPr>
            </w:pPr>
          </w:p>
        </w:tc>
      </w:tr>
      <w:tr w:rsidR="00DB4B11" w:rsidRPr="009A7FCC" w14:paraId="6D4AECA4" w14:textId="77777777" w:rsidTr="00C45DB7">
        <w:tc>
          <w:tcPr>
            <w:tcW w:w="10203" w:type="dxa"/>
            <w:gridSpan w:val="5"/>
            <w:tcBorders>
              <w:top w:val="single" w:sz="4" w:space="0" w:color="auto"/>
              <w:left w:val="single" w:sz="4" w:space="0" w:color="auto"/>
              <w:right w:val="single" w:sz="4" w:space="0" w:color="auto"/>
            </w:tcBorders>
            <w:shd w:val="clear" w:color="auto" w:fill="000000"/>
          </w:tcPr>
          <w:p w14:paraId="23902E3F" w14:textId="77777777" w:rsidR="00DB4B11" w:rsidRPr="009A7FCC" w:rsidRDefault="00DB4B11" w:rsidP="00DB4B11">
            <w:pPr>
              <w:rPr>
                <w:rFonts w:ascii="Arial" w:hAnsi="Arial" w:cs="Arial"/>
                <w:sz w:val="20"/>
              </w:rPr>
            </w:pPr>
            <w:r w:rsidRPr="009A7FCC">
              <w:rPr>
                <w:rFonts w:ascii="Arial" w:hAnsi="Arial" w:cs="Arial"/>
                <w:b/>
                <w:sz w:val="20"/>
              </w:rPr>
              <w:t>Prerequisites</w:t>
            </w:r>
          </w:p>
        </w:tc>
      </w:tr>
      <w:tr w:rsidR="00DB4B11" w:rsidRPr="009A7FCC" w14:paraId="6EA558B5" w14:textId="77777777" w:rsidTr="00C45DB7">
        <w:tc>
          <w:tcPr>
            <w:tcW w:w="10203" w:type="dxa"/>
            <w:gridSpan w:val="5"/>
            <w:shd w:val="clear" w:color="auto" w:fill="auto"/>
          </w:tcPr>
          <w:p w14:paraId="6E6553E6" w14:textId="3EF27865" w:rsidR="00DB4B11" w:rsidRPr="009A7FCC" w:rsidRDefault="009B3AC7" w:rsidP="00DB4B11">
            <w:pPr>
              <w:rPr>
                <w:rFonts w:ascii="Arial" w:hAnsi="Arial" w:cs="Arial"/>
                <w:sz w:val="20"/>
                <w:szCs w:val="20"/>
              </w:rPr>
            </w:pPr>
            <w:r>
              <w:rPr>
                <w:rFonts w:ascii="Arial" w:hAnsi="Arial" w:cs="Arial"/>
                <w:sz w:val="20"/>
              </w:rPr>
              <w:br/>
            </w:r>
            <w:r w:rsidR="00D47A24">
              <w:rPr>
                <w:rFonts w:ascii="Arial" w:hAnsi="Arial" w:cs="Arial"/>
                <w:sz w:val="20"/>
              </w:rPr>
              <w:t>None</w:t>
            </w:r>
          </w:p>
          <w:p w14:paraId="4050965E" w14:textId="77777777" w:rsidR="00DB4B11" w:rsidRDefault="00DB4B11" w:rsidP="006F1AEA">
            <w:pPr>
              <w:rPr>
                <w:rFonts w:ascii="Arial" w:hAnsi="Arial" w:cs="Arial"/>
                <w:sz w:val="20"/>
              </w:rPr>
            </w:pPr>
          </w:p>
        </w:tc>
      </w:tr>
      <w:tr w:rsidR="006A74A2" w:rsidRPr="009A7FCC" w14:paraId="029138B9" w14:textId="77777777" w:rsidTr="00C45DB7">
        <w:tc>
          <w:tcPr>
            <w:tcW w:w="10203"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848F94F" w14:textId="77777777" w:rsidR="006A74A2" w:rsidRPr="009A7FCC" w:rsidRDefault="00846D53" w:rsidP="00DB4B11">
            <w:pPr>
              <w:rPr>
                <w:rFonts w:ascii="Arial" w:hAnsi="Arial" w:cs="Arial"/>
                <w:b/>
                <w:sz w:val="20"/>
              </w:rPr>
            </w:pPr>
            <w:r w:rsidRPr="009A7FCC">
              <w:rPr>
                <w:rFonts w:ascii="Arial" w:hAnsi="Arial" w:cs="Arial"/>
                <w:b/>
                <w:sz w:val="20"/>
              </w:rPr>
              <w:t xml:space="preserve">Course </w:t>
            </w:r>
            <w:r w:rsidR="00C33B5F">
              <w:rPr>
                <w:rFonts w:ascii="Arial" w:hAnsi="Arial" w:cs="Arial"/>
                <w:b/>
                <w:sz w:val="20"/>
              </w:rPr>
              <w:t xml:space="preserve">Competencies and </w:t>
            </w:r>
            <w:r w:rsidRPr="009A7FCC">
              <w:rPr>
                <w:rFonts w:ascii="Arial" w:hAnsi="Arial" w:cs="Arial"/>
                <w:b/>
                <w:sz w:val="20"/>
              </w:rPr>
              <w:t>Objectives</w:t>
            </w:r>
          </w:p>
        </w:tc>
      </w:tr>
      <w:tr w:rsidR="006A74A2" w:rsidRPr="009A7FCC" w14:paraId="7CE1CC3C" w14:textId="77777777" w:rsidTr="00C45DB7">
        <w:trPr>
          <w:trHeight w:val="89"/>
        </w:trPr>
        <w:tc>
          <w:tcPr>
            <w:tcW w:w="10203" w:type="dxa"/>
            <w:gridSpan w:val="5"/>
            <w:tcBorders>
              <w:top w:val="single" w:sz="4" w:space="0" w:color="auto"/>
            </w:tcBorders>
            <w:shd w:val="clear" w:color="auto" w:fill="auto"/>
          </w:tcPr>
          <w:p w14:paraId="1839CFB3" w14:textId="77777777" w:rsidR="006A74A2" w:rsidRPr="009A7FCC" w:rsidRDefault="006A74A2" w:rsidP="006F1AEA">
            <w:pPr>
              <w:rPr>
                <w:rFonts w:ascii="Arial" w:hAnsi="Arial" w:cs="Arial"/>
                <w:sz w:val="10"/>
              </w:rPr>
            </w:pPr>
          </w:p>
        </w:tc>
      </w:tr>
      <w:tr w:rsidR="006A74A2" w:rsidRPr="009A7FCC" w14:paraId="29785133" w14:textId="77777777" w:rsidTr="00C45DB7">
        <w:tc>
          <w:tcPr>
            <w:tcW w:w="10203" w:type="dxa"/>
            <w:gridSpan w:val="5"/>
            <w:shd w:val="clear" w:color="auto" w:fill="auto"/>
          </w:tcPr>
          <w:p w14:paraId="7D651234" w14:textId="77777777" w:rsidR="006A74A2" w:rsidRPr="009A7FCC" w:rsidRDefault="006A74A2" w:rsidP="006F1AEA">
            <w:pPr>
              <w:rPr>
                <w:rFonts w:ascii="Arial" w:hAnsi="Arial" w:cs="Arial"/>
                <w:sz w:val="20"/>
              </w:rPr>
            </w:pPr>
          </w:p>
        </w:tc>
      </w:tr>
      <w:tr w:rsidR="008C6CBC" w:rsidRPr="0096675C" w14:paraId="7CDCF192" w14:textId="77777777" w:rsidTr="00C45DB7">
        <w:tc>
          <w:tcPr>
            <w:tcW w:w="10203" w:type="dxa"/>
            <w:gridSpan w:val="5"/>
            <w:shd w:val="clear" w:color="auto" w:fill="auto"/>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96675C" w:rsidRPr="0096675C" w14:paraId="606B9C75" w14:textId="77777777" w:rsidTr="00D47A24">
              <w:tc>
                <w:tcPr>
                  <w:tcW w:w="4788" w:type="dxa"/>
                  <w:shd w:val="clear" w:color="auto" w:fill="808080"/>
                </w:tcPr>
                <w:p w14:paraId="07CFD232" w14:textId="77777777" w:rsidR="0096675C" w:rsidRPr="0096675C" w:rsidRDefault="0096675C" w:rsidP="0096675C">
                  <w:pPr>
                    <w:rPr>
                      <w:rFonts w:ascii="Arial" w:hAnsi="Arial" w:cs="Arial"/>
                      <w:i/>
                      <w:sz w:val="20"/>
                      <w:szCs w:val="20"/>
                    </w:rPr>
                  </w:pPr>
                </w:p>
                <w:p w14:paraId="4ABF7246" w14:textId="77777777" w:rsidR="0096675C" w:rsidRPr="0096675C" w:rsidRDefault="0096675C" w:rsidP="0096675C">
                  <w:pPr>
                    <w:rPr>
                      <w:rFonts w:ascii="Arial" w:hAnsi="Arial" w:cs="Arial"/>
                      <w:i/>
                      <w:sz w:val="20"/>
                      <w:szCs w:val="20"/>
                    </w:rPr>
                  </w:pPr>
                  <w:r w:rsidRPr="0096675C">
                    <w:rPr>
                      <w:rFonts w:ascii="Arial" w:hAnsi="Arial" w:cs="Arial"/>
                      <w:i/>
                      <w:sz w:val="20"/>
                      <w:szCs w:val="20"/>
                    </w:rPr>
                    <w:fldChar w:fldCharType="begin">
                      <w:ffData>
                        <w:name w:val="Text15"/>
                        <w:enabled/>
                        <w:calcOnExit w:val="0"/>
                        <w:textInput/>
                      </w:ffData>
                    </w:fldChar>
                  </w:r>
                  <w:bookmarkStart w:id="4" w:name="Text15"/>
                  <w:r w:rsidRPr="0096675C">
                    <w:rPr>
                      <w:rFonts w:ascii="Arial" w:hAnsi="Arial" w:cs="Arial"/>
                      <w:i/>
                      <w:sz w:val="20"/>
                      <w:szCs w:val="20"/>
                    </w:rPr>
                    <w:instrText xml:space="preserve"> FORMTEXT </w:instrText>
                  </w:r>
                  <w:r w:rsidRPr="0096675C">
                    <w:rPr>
                      <w:rFonts w:ascii="Arial" w:hAnsi="Arial" w:cs="Arial"/>
                      <w:i/>
                      <w:sz w:val="20"/>
                      <w:szCs w:val="20"/>
                    </w:rPr>
                  </w:r>
                  <w:r w:rsidRPr="0096675C">
                    <w:rPr>
                      <w:rFonts w:ascii="Arial" w:hAnsi="Arial" w:cs="Arial"/>
                      <w:i/>
                      <w:sz w:val="20"/>
                      <w:szCs w:val="20"/>
                    </w:rPr>
                    <w:fldChar w:fldCharType="separate"/>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noProof/>
                      <w:sz w:val="20"/>
                      <w:szCs w:val="20"/>
                    </w:rPr>
                    <w:t> </w:t>
                  </w:r>
                  <w:r w:rsidRPr="0096675C">
                    <w:rPr>
                      <w:rFonts w:ascii="Arial" w:hAnsi="Arial" w:cs="Arial"/>
                      <w:i/>
                      <w:sz w:val="20"/>
                      <w:szCs w:val="20"/>
                    </w:rPr>
                    <w:fldChar w:fldCharType="end"/>
                  </w:r>
                  <w:bookmarkEnd w:id="4"/>
                  <w:r w:rsidR="007257D1">
                    <w:rPr>
                      <w:rFonts w:ascii="Arial" w:hAnsi="Arial" w:cs="Arial"/>
                      <w:i/>
                      <w:sz w:val="20"/>
                      <w:szCs w:val="20"/>
                    </w:rPr>
                    <w:t xml:space="preserve"> Competencies</w:t>
                  </w:r>
                </w:p>
              </w:tc>
              <w:tc>
                <w:tcPr>
                  <w:tcW w:w="4788" w:type="dxa"/>
                  <w:shd w:val="clear" w:color="auto" w:fill="808080"/>
                </w:tcPr>
                <w:p w14:paraId="2D8FC46B" w14:textId="77777777" w:rsidR="0096675C" w:rsidRPr="0096675C" w:rsidRDefault="0096675C" w:rsidP="0096675C">
                  <w:pPr>
                    <w:jc w:val="both"/>
                    <w:rPr>
                      <w:rFonts w:ascii="Arial" w:hAnsi="Arial" w:cs="Arial"/>
                      <w:i/>
                      <w:sz w:val="20"/>
                      <w:szCs w:val="20"/>
                    </w:rPr>
                  </w:pPr>
                </w:p>
                <w:p w14:paraId="7F6F004E" w14:textId="77777777" w:rsidR="0096675C" w:rsidRPr="0096675C" w:rsidRDefault="0096675C" w:rsidP="0096675C">
                  <w:pPr>
                    <w:jc w:val="both"/>
                    <w:rPr>
                      <w:rFonts w:ascii="Arial" w:hAnsi="Arial" w:cs="Arial"/>
                      <w:i/>
                      <w:sz w:val="20"/>
                      <w:szCs w:val="20"/>
                    </w:rPr>
                  </w:pPr>
                  <w:r w:rsidRPr="0096675C">
                    <w:rPr>
                      <w:rFonts w:ascii="Arial" w:hAnsi="Arial" w:cs="Arial"/>
                      <w:i/>
                      <w:sz w:val="20"/>
                      <w:szCs w:val="20"/>
                    </w:rPr>
                    <w:t>Course Objectives</w:t>
                  </w:r>
                </w:p>
              </w:tc>
            </w:tr>
            <w:tr w:rsidR="00D47A24" w:rsidRPr="0096675C" w14:paraId="4E53F1D8" w14:textId="77777777" w:rsidTr="00D47A24">
              <w:trPr>
                <w:trHeight w:val="170"/>
              </w:trPr>
              <w:tc>
                <w:tcPr>
                  <w:tcW w:w="4788" w:type="dxa"/>
                  <w:shd w:val="clear" w:color="auto" w:fill="auto"/>
                </w:tcPr>
                <w:p w14:paraId="1B5E128B" w14:textId="29148C1B" w:rsidR="00D47A24" w:rsidRPr="00C11EE2" w:rsidRDefault="00C11EE2" w:rsidP="00D47A24">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tc>
              <w:tc>
                <w:tcPr>
                  <w:tcW w:w="4788" w:type="dxa"/>
                  <w:shd w:val="clear" w:color="auto" w:fill="auto"/>
                </w:tcPr>
                <w:p w14:paraId="02FA1067" w14:textId="400DBB40" w:rsidR="00D47A24" w:rsidRPr="0096675C" w:rsidRDefault="004D10AC" w:rsidP="00D47A24">
                  <w:pPr>
                    <w:pStyle w:val="Default"/>
                    <w:rPr>
                      <w:rFonts w:ascii="Arial" w:hAnsi="Arial" w:cs="Arial"/>
                      <w:color w:val="auto"/>
                      <w:sz w:val="20"/>
                      <w:szCs w:val="20"/>
                    </w:rPr>
                  </w:pPr>
                  <w:r>
                    <w:rPr>
                      <w:rFonts w:ascii="Arial" w:eastAsia="Times New Roman" w:hAnsi="Arial" w:cs="Arial"/>
                      <w:color w:val="auto"/>
                      <w:sz w:val="20"/>
                    </w:rPr>
                    <w:t>Understand strategies for the measurement of health related social factors</w:t>
                  </w:r>
                </w:p>
              </w:tc>
            </w:tr>
            <w:tr w:rsidR="00D47A24" w:rsidRPr="0096675C" w14:paraId="3798F788" w14:textId="77777777" w:rsidTr="00D47A24">
              <w:tc>
                <w:tcPr>
                  <w:tcW w:w="4788" w:type="dxa"/>
                  <w:shd w:val="clear" w:color="auto" w:fill="auto"/>
                </w:tcPr>
                <w:p w14:paraId="0571CEAE" w14:textId="51EA58CE" w:rsidR="00D47A24" w:rsidRPr="00C11EE2" w:rsidRDefault="00C11EE2" w:rsidP="00C11EE2">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tc>
              <w:tc>
                <w:tcPr>
                  <w:tcW w:w="4788" w:type="dxa"/>
                  <w:shd w:val="clear" w:color="auto" w:fill="auto"/>
                </w:tcPr>
                <w:p w14:paraId="7A12A035" w14:textId="5DFE7362" w:rsidR="00D47A24" w:rsidRPr="0096675C" w:rsidRDefault="00D47A24" w:rsidP="009E5C9C">
                  <w:pPr>
                    <w:pStyle w:val="Default"/>
                    <w:rPr>
                      <w:rFonts w:ascii="Arial" w:hAnsi="Arial" w:cs="Arial"/>
                      <w:color w:val="auto"/>
                      <w:sz w:val="20"/>
                      <w:szCs w:val="20"/>
                    </w:rPr>
                  </w:pPr>
                  <w:r w:rsidRPr="000A3FA9">
                    <w:rPr>
                      <w:rFonts w:ascii="Arial" w:eastAsia="Times New Roman" w:hAnsi="Arial" w:cs="Arial"/>
                      <w:color w:val="auto"/>
                      <w:sz w:val="20"/>
                    </w:rPr>
                    <w:t xml:space="preserve">Know how </w:t>
                  </w:r>
                  <w:r w:rsidR="009E5C9C">
                    <w:rPr>
                      <w:rFonts w:ascii="Arial" w:eastAsia="Times New Roman" w:hAnsi="Arial" w:cs="Arial"/>
                      <w:color w:val="auto"/>
                      <w:sz w:val="20"/>
                    </w:rPr>
                    <w:t>surveys are used to inform public health research and practice</w:t>
                  </w:r>
                </w:p>
              </w:tc>
            </w:tr>
            <w:tr w:rsidR="00D47A24" w:rsidRPr="0096675C" w14:paraId="5A5EFE9F" w14:textId="77777777" w:rsidTr="00D47A24">
              <w:tc>
                <w:tcPr>
                  <w:tcW w:w="4788" w:type="dxa"/>
                  <w:shd w:val="clear" w:color="auto" w:fill="auto"/>
                </w:tcPr>
                <w:p w14:paraId="025CF400" w14:textId="742FE46E" w:rsidR="00D47A24" w:rsidRPr="00C11EE2" w:rsidRDefault="00C11EE2" w:rsidP="00D47A24">
                  <w:pPr>
                    <w:rPr>
                      <w:rFonts w:ascii="Arial" w:hAnsi="Arial" w:cs="Arial"/>
                      <w:sz w:val="20"/>
                      <w:szCs w:val="18"/>
                    </w:rPr>
                  </w:pPr>
                  <w:r w:rsidRPr="00C11EE2">
                    <w:rPr>
                      <w:rFonts w:ascii="Arial" w:hAnsi="Arial" w:cs="Arial"/>
                      <w:sz w:val="20"/>
                      <w:szCs w:val="18"/>
                    </w:rPr>
                    <w:t>HPMC.1. Use policy and management tools to evaluate implications of specific programs, policies, and interventions on organizations and populations.</w:t>
                  </w:r>
                </w:p>
              </w:tc>
              <w:tc>
                <w:tcPr>
                  <w:tcW w:w="4788" w:type="dxa"/>
                  <w:shd w:val="clear" w:color="auto" w:fill="auto"/>
                </w:tcPr>
                <w:p w14:paraId="43096470" w14:textId="68CB68D6" w:rsidR="00D47A24" w:rsidRPr="0096675C" w:rsidRDefault="00D47A24" w:rsidP="003F28EE">
                  <w:pPr>
                    <w:pStyle w:val="Default"/>
                    <w:rPr>
                      <w:rFonts w:ascii="Arial" w:hAnsi="Arial" w:cs="Arial"/>
                      <w:color w:val="auto"/>
                      <w:sz w:val="20"/>
                      <w:szCs w:val="20"/>
                    </w:rPr>
                  </w:pPr>
                  <w:r w:rsidRPr="000A3FA9">
                    <w:rPr>
                      <w:rFonts w:ascii="Arial" w:hAnsi="Arial" w:cs="Arial"/>
                      <w:sz w:val="20"/>
                    </w:rPr>
                    <w:t xml:space="preserve">Understand how </w:t>
                  </w:r>
                  <w:r w:rsidR="003F28EE">
                    <w:rPr>
                      <w:rFonts w:ascii="Arial" w:hAnsi="Arial" w:cs="Arial"/>
                      <w:sz w:val="20"/>
                    </w:rPr>
                    <w:t>platform, sampling strategy, and weighting influence survey responses</w:t>
                  </w:r>
                </w:p>
              </w:tc>
            </w:tr>
            <w:tr w:rsidR="00D47A24" w:rsidRPr="0096675C" w14:paraId="72895691" w14:textId="77777777" w:rsidTr="00D47A24">
              <w:tc>
                <w:tcPr>
                  <w:tcW w:w="4788" w:type="dxa"/>
                  <w:shd w:val="clear" w:color="auto" w:fill="auto"/>
                </w:tcPr>
                <w:p w14:paraId="095AF3C1" w14:textId="2A686467" w:rsidR="00D47A24" w:rsidRPr="00C11EE2" w:rsidRDefault="00C11EE2" w:rsidP="00D47A24">
                  <w:pPr>
                    <w:rPr>
                      <w:rFonts w:ascii="Arial" w:hAnsi="Arial" w:cs="Arial"/>
                      <w:sz w:val="20"/>
                      <w:szCs w:val="18"/>
                    </w:rPr>
                  </w:pPr>
                  <w:r w:rsidRPr="00C11EE2">
                    <w:rPr>
                      <w:rFonts w:ascii="Arial" w:hAnsi="Arial" w:cs="Arial"/>
                      <w:sz w:val="20"/>
                      <w:szCs w:val="18"/>
                    </w:rPr>
                    <w:t>HPMC.3. Communicate evidence-based options to address public health management and policy problems.</w:t>
                  </w:r>
                </w:p>
              </w:tc>
              <w:tc>
                <w:tcPr>
                  <w:tcW w:w="4788" w:type="dxa"/>
                  <w:shd w:val="clear" w:color="auto" w:fill="auto"/>
                </w:tcPr>
                <w:p w14:paraId="0145EC5D" w14:textId="0A34C848" w:rsidR="00D47A24" w:rsidRPr="0096675C" w:rsidRDefault="00D47A24" w:rsidP="004D10AC">
                  <w:pPr>
                    <w:rPr>
                      <w:rFonts w:ascii="Arial" w:hAnsi="Arial" w:cs="Arial"/>
                      <w:sz w:val="20"/>
                      <w:szCs w:val="20"/>
                    </w:rPr>
                  </w:pPr>
                  <w:r w:rsidRPr="000A3FA9">
                    <w:rPr>
                      <w:rFonts w:ascii="Arial" w:hAnsi="Arial" w:cs="Arial"/>
                      <w:sz w:val="20"/>
                    </w:rPr>
                    <w:t xml:space="preserve">Describe </w:t>
                  </w:r>
                  <w:r w:rsidR="004D10AC">
                    <w:rPr>
                      <w:rFonts w:ascii="Arial" w:hAnsi="Arial" w:cs="Arial"/>
                      <w:sz w:val="20"/>
                    </w:rPr>
                    <w:t xml:space="preserve">the limitations </w:t>
                  </w:r>
                  <w:r w:rsidR="009E5C9C">
                    <w:rPr>
                      <w:rFonts w:ascii="Arial" w:hAnsi="Arial" w:cs="Arial"/>
                      <w:sz w:val="20"/>
                    </w:rPr>
                    <w:t>of survey question types for research and practice</w:t>
                  </w:r>
                  <w:r w:rsidRPr="000A3FA9">
                    <w:rPr>
                      <w:rFonts w:ascii="Arial" w:hAnsi="Arial" w:cs="Arial"/>
                      <w:sz w:val="20"/>
                    </w:rPr>
                    <w:t xml:space="preserve"> </w:t>
                  </w:r>
                </w:p>
              </w:tc>
            </w:tr>
            <w:tr w:rsidR="00D47A24" w:rsidRPr="0096675C" w14:paraId="10A7C47A" w14:textId="77777777" w:rsidTr="00D47A24">
              <w:tc>
                <w:tcPr>
                  <w:tcW w:w="4788" w:type="dxa"/>
                  <w:shd w:val="clear" w:color="auto" w:fill="auto"/>
                </w:tcPr>
                <w:p w14:paraId="19CAEE04" w14:textId="164EBAA6" w:rsidR="00D47A24" w:rsidRPr="00C11EE2" w:rsidRDefault="00300B3C" w:rsidP="00D47A24">
                  <w:pPr>
                    <w:rPr>
                      <w:rFonts w:ascii="Arial" w:hAnsi="Arial" w:cs="Arial"/>
                      <w:sz w:val="20"/>
                      <w:szCs w:val="18"/>
                    </w:rPr>
                  </w:pPr>
                  <w:r w:rsidRPr="00C11EE2">
                    <w:rPr>
                      <w:rFonts w:ascii="Arial" w:hAnsi="Arial" w:cs="Arial"/>
                      <w:sz w:val="20"/>
                      <w:szCs w:val="18"/>
                    </w:rPr>
                    <w:t>HPMC.3. Communicate evidence-based options to address public health management and policy problems.</w:t>
                  </w:r>
                </w:p>
              </w:tc>
              <w:tc>
                <w:tcPr>
                  <w:tcW w:w="4788" w:type="dxa"/>
                  <w:shd w:val="clear" w:color="auto" w:fill="auto"/>
                </w:tcPr>
                <w:p w14:paraId="1919DFB4" w14:textId="324848FA" w:rsidR="00D47A24" w:rsidRPr="0096675C" w:rsidRDefault="004D10AC" w:rsidP="009E5C9C">
                  <w:pPr>
                    <w:rPr>
                      <w:rFonts w:ascii="Arial" w:hAnsi="Arial" w:cs="Arial"/>
                      <w:sz w:val="20"/>
                      <w:szCs w:val="20"/>
                    </w:rPr>
                  </w:pPr>
                  <w:r>
                    <w:rPr>
                      <w:rFonts w:ascii="Arial" w:hAnsi="Arial" w:cs="Arial"/>
                      <w:sz w:val="20"/>
                    </w:rPr>
                    <w:t xml:space="preserve">Develop a survey capable of providing information </w:t>
                  </w:r>
                  <w:r w:rsidR="009E5C9C">
                    <w:rPr>
                      <w:rFonts w:ascii="Arial" w:hAnsi="Arial" w:cs="Arial"/>
                      <w:sz w:val="20"/>
                    </w:rPr>
                    <w:t>about public attitudes on a public health issue.</w:t>
                  </w:r>
                </w:p>
              </w:tc>
            </w:tr>
          </w:tbl>
          <w:p w14:paraId="2790E639" w14:textId="77777777" w:rsidR="008C6CBC" w:rsidRPr="0096675C" w:rsidRDefault="008C6CBC" w:rsidP="0096675C">
            <w:pPr>
              <w:ind w:right="-198"/>
              <w:rPr>
                <w:rFonts w:ascii="Arial" w:hAnsi="Arial" w:cs="Arial"/>
                <w:sz w:val="20"/>
                <w:szCs w:val="20"/>
              </w:rPr>
            </w:pPr>
          </w:p>
        </w:tc>
      </w:tr>
      <w:tr w:rsidR="00396748" w:rsidRPr="009A7FCC" w14:paraId="1740F84B" w14:textId="77777777" w:rsidTr="00C45DB7">
        <w:tc>
          <w:tcPr>
            <w:tcW w:w="10203" w:type="dxa"/>
            <w:gridSpan w:val="5"/>
            <w:shd w:val="clear" w:color="auto" w:fill="auto"/>
          </w:tcPr>
          <w:p w14:paraId="58ED0A81" w14:textId="77777777" w:rsidR="00396748" w:rsidRDefault="00396748" w:rsidP="006F1AEA">
            <w:pPr>
              <w:rPr>
                <w:rFonts w:ascii="Arial" w:hAnsi="Arial" w:cs="Arial"/>
                <w:sz w:val="20"/>
              </w:rPr>
            </w:pPr>
          </w:p>
          <w:p w14:paraId="06AF699B" w14:textId="77777777" w:rsidR="00D47A24" w:rsidRDefault="00D47A24" w:rsidP="006F1AEA">
            <w:pPr>
              <w:rPr>
                <w:rFonts w:ascii="Arial" w:hAnsi="Arial" w:cs="Arial"/>
                <w:sz w:val="20"/>
              </w:rPr>
            </w:pPr>
          </w:p>
          <w:p w14:paraId="66703A7D" w14:textId="655B3810" w:rsidR="00D47A24" w:rsidRDefault="00D47A24" w:rsidP="006F1AEA">
            <w:pPr>
              <w:rPr>
                <w:rFonts w:ascii="Arial" w:hAnsi="Arial" w:cs="Arial"/>
                <w:sz w:val="20"/>
              </w:rPr>
            </w:pPr>
          </w:p>
          <w:p w14:paraId="77829BC5" w14:textId="77777777" w:rsidR="00300B3C" w:rsidRDefault="00300B3C" w:rsidP="006F1AEA">
            <w:pPr>
              <w:rPr>
                <w:rFonts w:ascii="Arial" w:hAnsi="Arial" w:cs="Arial"/>
                <w:sz w:val="20"/>
              </w:rPr>
            </w:pPr>
          </w:p>
          <w:p w14:paraId="432C5836" w14:textId="12732572" w:rsidR="00D47A24" w:rsidRPr="009A7FCC" w:rsidRDefault="00D47A24" w:rsidP="006F1AEA">
            <w:pPr>
              <w:rPr>
                <w:rFonts w:ascii="Arial" w:hAnsi="Arial" w:cs="Arial"/>
                <w:sz w:val="20"/>
              </w:rPr>
            </w:pPr>
          </w:p>
        </w:tc>
      </w:tr>
      <w:tr w:rsidR="00654087" w:rsidRPr="009A7FCC" w14:paraId="45E82117" w14:textId="77777777" w:rsidTr="00C45DB7">
        <w:tc>
          <w:tcPr>
            <w:tcW w:w="10203" w:type="dxa"/>
            <w:gridSpan w:val="5"/>
            <w:tcBorders>
              <w:top w:val="single" w:sz="4" w:space="0" w:color="auto"/>
              <w:left w:val="single" w:sz="4" w:space="0" w:color="auto"/>
              <w:bottom w:val="single" w:sz="4" w:space="0" w:color="auto"/>
              <w:right w:val="single" w:sz="4" w:space="0" w:color="auto"/>
            </w:tcBorders>
            <w:shd w:val="clear" w:color="auto" w:fill="000000"/>
          </w:tcPr>
          <w:p w14:paraId="32822592" w14:textId="77777777" w:rsidR="00654087" w:rsidRPr="009A7FCC" w:rsidRDefault="00654087" w:rsidP="0096675C">
            <w:pPr>
              <w:rPr>
                <w:rFonts w:ascii="Arial" w:hAnsi="Arial" w:cs="Arial"/>
                <w:b/>
                <w:sz w:val="20"/>
              </w:rPr>
            </w:pPr>
            <w:r w:rsidRPr="009A7FCC">
              <w:rPr>
                <w:rFonts w:ascii="Arial" w:hAnsi="Arial" w:cs="Arial"/>
                <w:b/>
                <w:sz w:val="20"/>
              </w:rPr>
              <w:lastRenderedPageBreak/>
              <w:t>Textbook and/or Resource Material</w:t>
            </w:r>
          </w:p>
        </w:tc>
      </w:tr>
      <w:tr w:rsidR="00654087" w:rsidRPr="009A7FCC" w14:paraId="3BC78D47" w14:textId="77777777" w:rsidTr="00C45DB7">
        <w:trPr>
          <w:trHeight w:val="89"/>
        </w:trPr>
        <w:tc>
          <w:tcPr>
            <w:tcW w:w="10203" w:type="dxa"/>
            <w:gridSpan w:val="5"/>
            <w:tcBorders>
              <w:top w:val="single" w:sz="4" w:space="0" w:color="auto"/>
            </w:tcBorders>
            <w:shd w:val="clear" w:color="auto" w:fill="auto"/>
          </w:tcPr>
          <w:p w14:paraId="754A3B08" w14:textId="77777777" w:rsidR="00654087" w:rsidRPr="009A7FCC" w:rsidRDefault="00654087" w:rsidP="0017759C">
            <w:pPr>
              <w:rPr>
                <w:rFonts w:ascii="Arial" w:hAnsi="Arial" w:cs="Arial"/>
                <w:sz w:val="10"/>
              </w:rPr>
            </w:pPr>
          </w:p>
        </w:tc>
      </w:tr>
      <w:tr w:rsidR="00654087" w:rsidRPr="009A7FCC" w14:paraId="02AB5B2F" w14:textId="77777777" w:rsidTr="00C45DB7">
        <w:tc>
          <w:tcPr>
            <w:tcW w:w="10203" w:type="dxa"/>
            <w:gridSpan w:val="5"/>
            <w:shd w:val="clear" w:color="auto" w:fill="auto"/>
          </w:tcPr>
          <w:p w14:paraId="66B1631F" w14:textId="7B627258" w:rsidR="00130C3A" w:rsidRDefault="003F28EE" w:rsidP="0017759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Schuman, H. and Presser, S., 1996. </w:t>
            </w:r>
            <w:r>
              <w:rPr>
                <w:rFonts w:ascii="Arial" w:hAnsi="Arial" w:cs="Arial"/>
                <w:i/>
                <w:iCs/>
                <w:color w:val="222222"/>
                <w:sz w:val="20"/>
                <w:szCs w:val="20"/>
                <w:shd w:val="clear" w:color="auto" w:fill="FFFFFF"/>
              </w:rPr>
              <w:t>Questions and answers in attitude surveys: Experiments on question form, wording, and context</w:t>
            </w:r>
            <w:r>
              <w:rPr>
                <w:rFonts w:ascii="Arial" w:hAnsi="Arial" w:cs="Arial"/>
                <w:color w:val="222222"/>
                <w:sz w:val="20"/>
                <w:szCs w:val="20"/>
                <w:shd w:val="clear" w:color="auto" w:fill="FFFFFF"/>
              </w:rPr>
              <w:t>. Sage.</w:t>
            </w:r>
          </w:p>
          <w:p w14:paraId="0AC98DA9" w14:textId="714C5140" w:rsidR="0060242A" w:rsidRDefault="0060242A" w:rsidP="0017759C">
            <w:pPr>
              <w:rPr>
                <w:rFonts w:ascii="Arial" w:hAnsi="Arial" w:cs="Arial"/>
                <w:color w:val="222222"/>
                <w:sz w:val="20"/>
                <w:szCs w:val="20"/>
                <w:shd w:val="clear" w:color="auto" w:fill="FFFFFF"/>
              </w:rPr>
            </w:pPr>
          </w:p>
          <w:p w14:paraId="17D601AF" w14:textId="0B3F5244" w:rsidR="0060242A" w:rsidRDefault="0060242A" w:rsidP="0017759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Streiner, D.L., Norman, G.R. and Cairney, J., 2015. </w:t>
            </w:r>
            <w:r>
              <w:rPr>
                <w:rFonts w:ascii="Arial" w:hAnsi="Arial" w:cs="Arial"/>
                <w:i/>
                <w:iCs/>
                <w:color w:val="222222"/>
                <w:sz w:val="20"/>
                <w:szCs w:val="20"/>
                <w:shd w:val="clear" w:color="auto" w:fill="FFFFFF"/>
              </w:rPr>
              <w:t>Health measurement scales: a practical guide to their development and use</w:t>
            </w:r>
            <w:r>
              <w:rPr>
                <w:rFonts w:ascii="Arial" w:hAnsi="Arial" w:cs="Arial"/>
                <w:color w:val="222222"/>
                <w:sz w:val="20"/>
                <w:szCs w:val="20"/>
                <w:shd w:val="clear" w:color="auto" w:fill="FFFFFF"/>
              </w:rPr>
              <w:t xml:space="preserve">. </w:t>
            </w:r>
            <w:r w:rsidR="00911B4D">
              <w:rPr>
                <w:rFonts w:ascii="Arial" w:hAnsi="Arial" w:cs="Arial"/>
                <w:color w:val="222222"/>
                <w:sz w:val="20"/>
                <w:szCs w:val="20"/>
                <w:shd w:val="clear" w:color="auto" w:fill="FFFFFF"/>
              </w:rPr>
              <w:t>5</w:t>
            </w:r>
            <w:r w:rsidR="00911B4D" w:rsidRPr="00911B4D">
              <w:rPr>
                <w:rFonts w:ascii="Arial" w:hAnsi="Arial" w:cs="Arial"/>
                <w:color w:val="222222"/>
                <w:sz w:val="20"/>
                <w:szCs w:val="20"/>
                <w:shd w:val="clear" w:color="auto" w:fill="FFFFFF"/>
                <w:vertAlign w:val="superscript"/>
              </w:rPr>
              <w:t>th</w:t>
            </w:r>
            <w:r w:rsidR="00911B4D">
              <w:rPr>
                <w:rFonts w:ascii="Arial" w:hAnsi="Arial" w:cs="Arial"/>
                <w:color w:val="222222"/>
                <w:sz w:val="20"/>
                <w:szCs w:val="20"/>
                <w:shd w:val="clear" w:color="auto" w:fill="FFFFFF"/>
              </w:rPr>
              <w:t xml:space="preserve"> edition. </w:t>
            </w:r>
            <w:r>
              <w:rPr>
                <w:rFonts w:ascii="Arial" w:hAnsi="Arial" w:cs="Arial"/>
                <w:color w:val="222222"/>
                <w:sz w:val="20"/>
                <w:szCs w:val="20"/>
                <w:shd w:val="clear" w:color="auto" w:fill="FFFFFF"/>
              </w:rPr>
              <w:t>Oxford University Press, USA.</w:t>
            </w:r>
          </w:p>
          <w:p w14:paraId="4E75F2E6" w14:textId="77777777" w:rsidR="003F28EE" w:rsidRDefault="003F28EE" w:rsidP="0017759C">
            <w:pPr>
              <w:rPr>
                <w:rFonts w:ascii="Arial" w:hAnsi="Arial" w:cs="Arial"/>
                <w:sz w:val="20"/>
              </w:rPr>
            </w:pPr>
          </w:p>
          <w:p w14:paraId="3E3497AB" w14:textId="77777777" w:rsidR="00130C3A" w:rsidRPr="009A7FCC" w:rsidRDefault="00130C3A" w:rsidP="0017759C">
            <w:pPr>
              <w:rPr>
                <w:rFonts w:ascii="Arial" w:hAnsi="Arial" w:cs="Arial"/>
                <w:sz w:val="20"/>
              </w:rPr>
            </w:pPr>
          </w:p>
        </w:tc>
      </w:tr>
      <w:tr w:rsidR="00130C3A" w:rsidRPr="009A7FCC" w14:paraId="5E7234F3" w14:textId="77777777" w:rsidTr="00C45DB7">
        <w:tc>
          <w:tcPr>
            <w:tcW w:w="10203" w:type="dxa"/>
            <w:gridSpan w:val="5"/>
            <w:tcBorders>
              <w:top w:val="single" w:sz="4" w:space="0" w:color="auto"/>
              <w:left w:val="single" w:sz="4" w:space="0" w:color="auto"/>
              <w:bottom w:val="single" w:sz="4" w:space="0" w:color="auto"/>
              <w:right w:val="single" w:sz="4" w:space="0" w:color="auto"/>
            </w:tcBorders>
            <w:shd w:val="clear" w:color="auto" w:fill="000000"/>
          </w:tcPr>
          <w:p w14:paraId="02D5C84F" w14:textId="77777777" w:rsidR="00130C3A" w:rsidRPr="009A7FCC" w:rsidRDefault="00130C3A" w:rsidP="00130C3A">
            <w:pPr>
              <w:rPr>
                <w:rFonts w:ascii="Arial" w:hAnsi="Arial" w:cs="Arial"/>
                <w:i/>
                <w:sz w:val="18"/>
              </w:rPr>
            </w:pPr>
            <w:r w:rsidRPr="009A7FCC">
              <w:rPr>
                <w:rFonts w:ascii="Arial" w:hAnsi="Arial" w:cs="Arial"/>
                <w:b/>
                <w:sz w:val="20"/>
              </w:rPr>
              <w:t>Course Topics, Calendar of Activities, Major Assignment Dates</w:t>
            </w:r>
          </w:p>
        </w:tc>
      </w:tr>
      <w:tr w:rsidR="00130C3A" w:rsidRPr="009A7FCC" w14:paraId="10BBC374" w14:textId="77777777" w:rsidTr="00C45DB7">
        <w:tc>
          <w:tcPr>
            <w:tcW w:w="10203" w:type="dxa"/>
            <w:gridSpan w:val="5"/>
            <w:tcBorders>
              <w:top w:val="single" w:sz="4" w:space="0" w:color="auto"/>
            </w:tcBorders>
            <w:shd w:val="clear" w:color="auto" w:fill="auto"/>
          </w:tcPr>
          <w:p w14:paraId="5E662C3B" w14:textId="77777777" w:rsidR="00130C3A" w:rsidRPr="009A7FCC" w:rsidRDefault="00130C3A" w:rsidP="00130C3A">
            <w:pPr>
              <w:rPr>
                <w:rFonts w:ascii="Arial" w:hAnsi="Arial" w:cs="Arial"/>
                <w:sz w:val="10"/>
                <w:szCs w:val="10"/>
              </w:rPr>
            </w:pPr>
          </w:p>
        </w:tc>
      </w:tr>
      <w:tr w:rsidR="00130C3A" w:rsidRPr="009A7FCC" w14:paraId="2EC0B679" w14:textId="77777777" w:rsidTr="00C45DB7">
        <w:tc>
          <w:tcPr>
            <w:tcW w:w="10203" w:type="dxa"/>
            <w:gridSpan w:val="5"/>
            <w:shd w:val="clear" w:color="auto" w:fill="auto"/>
          </w:tcPr>
          <w:p w14:paraId="0E4601D3" w14:textId="36FE9802" w:rsidR="00130C3A" w:rsidRPr="009A7FCC" w:rsidRDefault="00130C3A" w:rsidP="00130C3A">
            <w:pPr>
              <w:rPr>
                <w:rFonts w:ascii="Arial" w:hAnsi="Arial" w:cs="Arial"/>
                <w:sz w:val="20"/>
                <w:szCs w:val="20"/>
              </w:rPr>
            </w:pPr>
          </w:p>
        </w:tc>
      </w:tr>
      <w:tr w:rsidR="00130C3A" w:rsidRPr="009A7FCC" w14:paraId="46EDEF76" w14:textId="77777777" w:rsidTr="00C45DB7">
        <w:trPr>
          <w:trHeight w:val="89"/>
        </w:trPr>
        <w:tc>
          <w:tcPr>
            <w:tcW w:w="10203" w:type="dxa"/>
            <w:gridSpan w:val="5"/>
            <w:tcBorders>
              <w:bottom w:val="single" w:sz="4" w:space="0" w:color="auto"/>
            </w:tcBorders>
            <w:shd w:val="clear" w:color="auto" w:fill="auto"/>
          </w:tcPr>
          <w:p w14:paraId="684C01CC" w14:textId="77777777" w:rsidR="00130C3A" w:rsidRPr="009A7FCC" w:rsidRDefault="00130C3A" w:rsidP="00130C3A">
            <w:pPr>
              <w:rPr>
                <w:rFonts w:ascii="Arial" w:hAnsi="Arial" w:cs="Arial"/>
                <w:sz w:val="10"/>
              </w:rPr>
            </w:pPr>
          </w:p>
        </w:tc>
      </w:tr>
      <w:tr w:rsidR="00130C3A" w:rsidRPr="009A7FCC" w14:paraId="631F8DBF" w14:textId="77777777" w:rsidTr="00C45DB7">
        <w:trPr>
          <w:gridAfter w:val="1"/>
          <w:wAfter w:w="11" w:type="dxa"/>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108617A" w14:textId="77777777" w:rsidR="00130C3A" w:rsidRPr="009A7FCC" w:rsidRDefault="00130C3A" w:rsidP="00130C3A">
            <w:pPr>
              <w:rPr>
                <w:rFonts w:ascii="Arial" w:hAnsi="Arial" w:cs="Arial"/>
                <w:b/>
                <w:sz w:val="18"/>
              </w:rPr>
            </w:pPr>
            <w:r w:rsidRPr="009A7FCC">
              <w:rPr>
                <w:rFonts w:ascii="Arial" w:hAnsi="Arial" w:cs="Arial"/>
                <w:b/>
                <w:sz w:val="18"/>
              </w:rPr>
              <w:t>Week</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29905678" w14:textId="77777777" w:rsidR="00130C3A" w:rsidRPr="009A7FCC" w:rsidRDefault="00130C3A" w:rsidP="00130C3A">
            <w:pPr>
              <w:rPr>
                <w:rFonts w:ascii="Arial" w:hAnsi="Arial" w:cs="Arial"/>
                <w:b/>
                <w:sz w:val="18"/>
              </w:rPr>
            </w:pPr>
            <w:r w:rsidRPr="009A7FCC">
              <w:rPr>
                <w:rFonts w:ascii="Arial" w:hAnsi="Arial" w:cs="Arial"/>
                <w:b/>
                <w:sz w:val="18"/>
              </w:rPr>
              <w:t>Topic</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1520892" w14:textId="77777777" w:rsidR="00130C3A" w:rsidRPr="009A7FCC" w:rsidRDefault="00130C3A" w:rsidP="00130C3A">
            <w:pPr>
              <w:rPr>
                <w:rFonts w:ascii="Arial" w:hAnsi="Arial" w:cs="Arial"/>
                <w:b/>
                <w:sz w:val="18"/>
              </w:rPr>
            </w:pPr>
            <w:r w:rsidRPr="009A7FCC">
              <w:rPr>
                <w:rFonts w:ascii="Arial" w:hAnsi="Arial" w:cs="Arial"/>
                <w:b/>
                <w:sz w:val="18"/>
              </w:rPr>
              <w:t>Required Reading</w:t>
            </w:r>
          </w:p>
        </w:tc>
      </w:tr>
      <w:tr w:rsidR="00130C3A" w:rsidRPr="009A7FCC" w14:paraId="5F23917B"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C8DC7E1" w14:textId="69346391" w:rsidR="00130C3A" w:rsidRPr="009A7FCC" w:rsidRDefault="00D47A24" w:rsidP="00130C3A">
            <w:pPr>
              <w:rPr>
                <w:rFonts w:ascii="Arial" w:hAnsi="Arial" w:cs="Arial"/>
                <w:sz w:val="20"/>
              </w:rPr>
            </w:pPr>
            <w:r>
              <w:rPr>
                <w:rFonts w:ascii="Arial" w:hAnsi="Arial" w:cs="Arial"/>
                <w:sz w:val="20"/>
              </w:rPr>
              <w:t>Week 1</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448D5422" w14:textId="77777777" w:rsidR="00130C3A" w:rsidRDefault="00300B3C" w:rsidP="00130C3A">
            <w:pPr>
              <w:rPr>
                <w:rFonts w:ascii="Arial" w:hAnsi="Arial" w:cs="Arial"/>
                <w:sz w:val="20"/>
              </w:rPr>
            </w:pPr>
            <w:r>
              <w:rPr>
                <w:rFonts w:ascii="Arial" w:hAnsi="Arial" w:cs="Arial"/>
                <w:sz w:val="20"/>
              </w:rPr>
              <w:t>Monday: Syllabus and Introduction</w:t>
            </w:r>
          </w:p>
          <w:p w14:paraId="6F8BB276" w14:textId="77777777" w:rsidR="00300B3C" w:rsidRDefault="00300B3C" w:rsidP="00130C3A">
            <w:pPr>
              <w:rPr>
                <w:rFonts w:ascii="Arial" w:hAnsi="Arial" w:cs="Arial"/>
                <w:sz w:val="20"/>
              </w:rPr>
            </w:pPr>
          </w:p>
          <w:p w14:paraId="08FA1145" w14:textId="77777777" w:rsidR="00300B3C" w:rsidRDefault="00300B3C" w:rsidP="00130C3A">
            <w:pPr>
              <w:rPr>
                <w:rFonts w:ascii="Arial" w:hAnsi="Arial" w:cs="Arial"/>
                <w:sz w:val="20"/>
              </w:rPr>
            </w:pPr>
            <w:bookmarkStart w:id="5" w:name="_GoBack"/>
            <w:bookmarkEnd w:id="5"/>
          </w:p>
          <w:p w14:paraId="3ACEDF6A" w14:textId="77777777" w:rsidR="00300B3C" w:rsidRDefault="00300B3C" w:rsidP="00130C3A">
            <w:pPr>
              <w:rPr>
                <w:rFonts w:ascii="Arial" w:hAnsi="Arial" w:cs="Arial"/>
                <w:sz w:val="20"/>
              </w:rPr>
            </w:pPr>
          </w:p>
          <w:p w14:paraId="003D8E1D" w14:textId="77777777" w:rsidR="00300B3C" w:rsidRDefault="00300B3C" w:rsidP="00130C3A">
            <w:pPr>
              <w:rPr>
                <w:rFonts w:ascii="Arial" w:hAnsi="Arial" w:cs="Arial"/>
                <w:sz w:val="20"/>
              </w:rPr>
            </w:pPr>
          </w:p>
          <w:p w14:paraId="09B2FB7A" w14:textId="77777777" w:rsidR="00300B3C" w:rsidRDefault="00300B3C" w:rsidP="00130C3A">
            <w:pPr>
              <w:rPr>
                <w:rFonts w:ascii="Arial" w:hAnsi="Arial" w:cs="Arial"/>
                <w:sz w:val="20"/>
              </w:rPr>
            </w:pPr>
          </w:p>
          <w:p w14:paraId="7639E75D" w14:textId="5EC81EDA" w:rsidR="00300B3C" w:rsidRPr="009A7FCC" w:rsidRDefault="00300B3C" w:rsidP="00130C3A">
            <w:pPr>
              <w:rPr>
                <w:rFonts w:ascii="Arial" w:hAnsi="Arial" w:cs="Arial"/>
                <w:sz w:val="20"/>
              </w:rPr>
            </w:pPr>
            <w:r>
              <w:rPr>
                <w:rFonts w:ascii="Arial" w:hAnsi="Arial" w:cs="Arial"/>
                <w:sz w:val="20"/>
              </w:rPr>
              <w:t>Wednesday: The History and Future of Survey Design and Public Opinion</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40ED8912" w14:textId="77777777" w:rsidR="00300B3C" w:rsidRDefault="00300B3C" w:rsidP="0044236F">
            <w:pPr>
              <w:pStyle w:val="ListParagraph"/>
              <w:numPr>
                <w:ilvl w:val="0"/>
                <w:numId w:val="17"/>
              </w:numPr>
              <w:spacing w:after="0" w:line="240" w:lineRule="auto"/>
              <w:ind w:left="360"/>
              <w:rPr>
                <w:rFonts w:ascii="Arial" w:hAnsi="Arial" w:cs="Arial"/>
                <w:sz w:val="20"/>
                <w:szCs w:val="27"/>
              </w:rPr>
            </w:pPr>
            <w:r w:rsidRPr="00300B3C">
              <w:rPr>
                <w:rFonts w:ascii="Arial" w:hAnsi="Arial" w:cs="Arial"/>
                <w:sz w:val="20"/>
                <w:szCs w:val="27"/>
              </w:rPr>
              <w:t>Delli Carpini, M.X., (2011). “Constructing Public Opinion: A Brief History of Survey Research” The Oxford Handbook of American Public Opinion and the Media, 1-20.</w:t>
            </w:r>
          </w:p>
          <w:p w14:paraId="50ACA28E" w14:textId="77777777" w:rsidR="00130C3A" w:rsidRPr="00CD6515" w:rsidRDefault="00CD6515" w:rsidP="00CD6515">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Toff, B., 2018. Rethinking the Debate Over Recent Polling Failures. </w:t>
            </w:r>
            <w:r>
              <w:rPr>
                <w:rFonts w:ascii="Arial" w:hAnsi="Arial" w:cs="Arial"/>
                <w:i/>
                <w:iCs/>
                <w:color w:val="222222"/>
                <w:sz w:val="20"/>
                <w:szCs w:val="20"/>
                <w:shd w:val="clear" w:color="auto" w:fill="FFFFFF"/>
              </w:rPr>
              <w:t>Political Communication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(2), pp.327-332.</w:t>
            </w:r>
          </w:p>
          <w:p w14:paraId="266DD8D1" w14:textId="3288077A" w:rsidR="00CD6515" w:rsidRPr="00CD6515" w:rsidRDefault="00CD6515" w:rsidP="00CD6515">
            <w:pPr>
              <w:pStyle w:val="ListParagraph"/>
              <w:numPr>
                <w:ilvl w:val="0"/>
                <w:numId w:val="17"/>
              </w:numPr>
              <w:spacing w:after="0" w:line="240" w:lineRule="auto"/>
              <w:ind w:left="360"/>
              <w:rPr>
                <w:rFonts w:ascii="Arial" w:hAnsi="Arial" w:cs="Arial"/>
                <w:sz w:val="20"/>
                <w:szCs w:val="27"/>
              </w:rPr>
            </w:pPr>
            <w:r w:rsidRPr="00300B3C">
              <w:rPr>
                <w:rFonts w:ascii="Arial" w:hAnsi="Arial" w:cs="Arial"/>
                <w:sz w:val="20"/>
                <w:szCs w:val="27"/>
              </w:rPr>
              <w:t>Groves, Fowler, Couper, Lepkowski, Singer, &amp; Tourangeau.  2009.  Survey Methodology. NY: Wiley &amp; Sons. Chapter 2</w:t>
            </w:r>
          </w:p>
        </w:tc>
      </w:tr>
      <w:tr w:rsidR="00130C3A" w:rsidRPr="009A7FCC" w14:paraId="0C86778D"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291076D" w14:textId="0DC77F13" w:rsidR="00130C3A" w:rsidRPr="009A7FCC" w:rsidRDefault="00D47A24" w:rsidP="00130C3A">
            <w:pPr>
              <w:rPr>
                <w:rFonts w:ascii="Arial" w:hAnsi="Arial" w:cs="Arial"/>
                <w:sz w:val="20"/>
              </w:rPr>
            </w:pPr>
            <w:r>
              <w:rPr>
                <w:rFonts w:ascii="Arial" w:hAnsi="Arial" w:cs="Arial"/>
                <w:sz w:val="20"/>
              </w:rPr>
              <w:t>Week 2</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40D6E871" w14:textId="21013557" w:rsidR="00130C3A" w:rsidRPr="009A7FCC" w:rsidRDefault="00776FDA" w:rsidP="00CD6515">
            <w:pPr>
              <w:rPr>
                <w:rFonts w:ascii="Arial" w:hAnsi="Arial" w:cs="Arial"/>
                <w:sz w:val="20"/>
              </w:rPr>
            </w:pPr>
            <w:r>
              <w:rPr>
                <w:rFonts w:ascii="Arial" w:hAnsi="Arial" w:cs="Arial"/>
                <w:sz w:val="20"/>
              </w:rPr>
              <w:t>Introduction to Measurement</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32CF687F" w14:textId="6AD5AA54" w:rsidR="00D47A24" w:rsidRPr="005F3410" w:rsidRDefault="00CD6515" w:rsidP="00D47A24">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Streiner and Norman Chapters 1-</w:t>
            </w:r>
            <w:r w:rsidR="0030774C">
              <w:rPr>
                <w:rFonts w:ascii="Arial" w:eastAsia="Times New Roman" w:hAnsi="Arial" w:cs="Arial"/>
                <w:sz w:val="20"/>
                <w:szCs w:val="24"/>
              </w:rPr>
              <w:t>3</w:t>
            </w:r>
          </w:p>
          <w:p w14:paraId="0FA01D08" w14:textId="1BF10058" w:rsidR="00130C3A" w:rsidRPr="00D47A24" w:rsidRDefault="00130C3A" w:rsidP="00911B4D">
            <w:pPr>
              <w:pStyle w:val="ListParagraph"/>
              <w:spacing w:after="0" w:line="240" w:lineRule="auto"/>
              <w:ind w:left="360"/>
              <w:rPr>
                <w:rFonts w:ascii="Arial" w:eastAsia="Times New Roman" w:hAnsi="Arial" w:cs="Arial"/>
                <w:sz w:val="20"/>
                <w:szCs w:val="24"/>
              </w:rPr>
            </w:pPr>
          </w:p>
        </w:tc>
      </w:tr>
      <w:tr w:rsidR="00D47A24" w:rsidRPr="009A7FCC" w14:paraId="10A15EEE"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DA5262E" w14:textId="19D656D1" w:rsidR="00D47A24" w:rsidRPr="009A7FCC" w:rsidRDefault="00D47A24" w:rsidP="00D47A24">
            <w:pPr>
              <w:rPr>
                <w:rFonts w:ascii="Arial" w:hAnsi="Arial" w:cs="Arial"/>
                <w:sz w:val="20"/>
              </w:rPr>
            </w:pPr>
            <w:r>
              <w:rPr>
                <w:rFonts w:ascii="Arial" w:hAnsi="Arial" w:cs="Arial"/>
                <w:sz w:val="20"/>
              </w:rPr>
              <w:t>Week 3</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63B670E6" w14:textId="44E66A79" w:rsidR="00D47A24" w:rsidRPr="009A7FCC" w:rsidRDefault="00776FDA" w:rsidP="00CD6515">
            <w:pPr>
              <w:rPr>
                <w:rFonts w:ascii="Arial" w:hAnsi="Arial" w:cs="Arial"/>
                <w:sz w:val="20"/>
              </w:rPr>
            </w:pPr>
            <w:r>
              <w:rPr>
                <w:rFonts w:ascii="Arial" w:hAnsi="Arial" w:cs="Arial"/>
                <w:sz w:val="20"/>
              </w:rPr>
              <w:t>Guttman and Thurstone Scaling</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3761BF7C" w14:textId="1B4E1BC8" w:rsidR="00D47A24" w:rsidRDefault="00CD6515"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Guttman, L., 1944. A basis for scaling qualitative data. </w:t>
            </w:r>
            <w:r>
              <w:rPr>
                <w:rFonts w:ascii="Arial" w:hAnsi="Arial" w:cs="Arial"/>
                <w:i/>
                <w:iCs/>
                <w:color w:val="222222"/>
                <w:sz w:val="20"/>
                <w:szCs w:val="20"/>
                <w:shd w:val="clear" w:color="auto" w:fill="FFFFFF"/>
              </w:rPr>
              <w:t>American sociological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(2), pp.139-150.</w:t>
            </w:r>
            <w:r>
              <w:rPr>
                <w:rFonts w:ascii="Arial" w:hAnsi="Arial" w:cs="Arial"/>
                <w:sz w:val="20"/>
              </w:rPr>
              <w:t xml:space="preserve"> </w:t>
            </w:r>
            <w:r w:rsidR="00D47A24">
              <w:rPr>
                <w:rFonts w:ascii="Arial" w:hAnsi="Arial" w:cs="Arial"/>
                <w:sz w:val="20"/>
              </w:rPr>
              <w:t xml:space="preserve">Mayhew, David. 1974. Congress: The Electoral Connection. Pgs. 1-77. </w:t>
            </w:r>
          </w:p>
          <w:p w14:paraId="01B27900" w14:textId="77777777" w:rsidR="00D47A24" w:rsidRPr="0044236F" w:rsidRDefault="00913EBE"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Krabbe, P.F., 2008. Thurstone scaling as a measurement method to quantify subjective health outcomes. </w:t>
            </w:r>
            <w:r>
              <w:rPr>
                <w:rFonts w:ascii="Arial" w:hAnsi="Arial" w:cs="Arial"/>
                <w:i/>
                <w:iCs/>
                <w:color w:val="222222"/>
                <w:sz w:val="20"/>
                <w:szCs w:val="20"/>
                <w:shd w:val="clear" w:color="auto" w:fill="FFFFFF"/>
              </w:rPr>
              <w:t>Medical care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w:t>
            </w:r>
            <w:r>
              <w:rPr>
                <w:rFonts w:ascii="Arial" w:hAnsi="Arial" w:cs="Arial"/>
                <w:color w:val="222222"/>
                <w:sz w:val="20"/>
                <w:szCs w:val="20"/>
                <w:shd w:val="clear" w:color="auto" w:fill="FFFFFF"/>
              </w:rPr>
              <w:t>(4), pp.357-365.</w:t>
            </w:r>
          </w:p>
          <w:p w14:paraId="69161E9D" w14:textId="18F689AE" w:rsidR="0044236F" w:rsidRPr="00D47A24" w:rsidRDefault="0044236F" w:rsidP="0044236F">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Andrews, J.A. and Peterson, M., 2006. The development of social images of substance users in children: A Guttman unidimensional scaling approach. </w:t>
            </w:r>
            <w:r>
              <w:rPr>
                <w:rFonts w:ascii="Arial" w:hAnsi="Arial" w:cs="Arial"/>
                <w:i/>
                <w:iCs/>
                <w:color w:val="222222"/>
                <w:sz w:val="20"/>
                <w:szCs w:val="20"/>
                <w:shd w:val="clear" w:color="auto" w:fill="FFFFFF"/>
              </w:rPr>
              <w:t>Journal of Substance Use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 xml:space="preserve">(5), pp.305-321. </w:t>
            </w:r>
          </w:p>
        </w:tc>
      </w:tr>
      <w:tr w:rsidR="00D47A24" w:rsidRPr="009A7FCC" w14:paraId="33315919"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9C38789" w14:textId="43A4AEC0" w:rsidR="00D47A24" w:rsidRPr="009A7FCC" w:rsidRDefault="00D47A24" w:rsidP="00D47A24">
            <w:pPr>
              <w:rPr>
                <w:rFonts w:ascii="Arial" w:hAnsi="Arial" w:cs="Arial"/>
                <w:sz w:val="20"/>
              </w:rPr>
            </w:pPr>
            <w:r>
              <w:rPr>
                <w:rFonts w:ascii="Arial" w:hAnsi="Arial" w:cs="Arial"/>
                <w:sz w:val="20"/>
              </w:rPr>
              <w:t>Week 4</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7D3359A6" w14:textId="2F105856" w:rsidR="00D47A24" w:rsidRPr="009A7FCC" w:rsidRDefault="000C1145" w:rsidP="000C1145">
            <w:pPr>
              <w:rPr>
                <w:rFonts w:ascii="Arial" w:hAnsi="Arial" w:cs="Arial"/>
                <w:sz w:val="20"/>
              </w:rPr>
            </w:pPr>
            <w:r>
              <w:rPr>
                <w:rFonts w:ascii="Arial" w:hAnsi="Arial" w:cs="Arial"/>
                <w:sz w:val="20"/>
              </w:rPr>
              <w:t>Likert,  Multidimensional Scales, and Factor Analysis</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6A73A13C" w14:textId="52856B6D" w:rsidR="0030774C" w:rsidRPr="005F3410" w:rsidRDefault="0030774C" w:rsidP="0030774C">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Streiner and Norman Chapters 4-5; skip pages 87-95</w:t>
            </w:r>
          </w:p>
          <w:p w14:paraId="5EF24912" w14:textId="6E9FE845" w:rsidR="00E2111F" w:rsidRPr="00E2111F" w:rsidRDefault="00E2111F" w:rsidP="000C1145">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Jamieson, S., 2004. Likert scales: how to (ab) use them. </w:t>
            </w:r>
            <w:r>
              <w:rPr>
                <w:rFonts w:ascii="Arial" w:hAnsi="Arial" w:cs="Arial"/>
                <w:i/>
                <w:iCs/>
                <w:color w:val="222222"/>
                <w:sz w:val="20"/>
                <w:szCs w:val="20"/>
                <w:shd w:val="clear" w:color="auto" w:fill="FFFFFF"/>
              </w:rPr>
              <w:t>Medical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(12), pp.1217-1218.</w:t>
            </w:r>
          </w:p>
          <w:p w14:paraId="7FD65C76" w14:textId="20E0EFEB" w:rsidR="00E2111F" w:rsidRPr="00E2111F" w:rsidRDefault="00E2111F" w:rsidP="000C1145">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Carifio, J. and Perla, R., 2008. Resolving the 50</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year debate around using and misusing Likert scales. </w:t>
            </w:r>
            <w:r>
              <w:rPr>
                <w:rFonts w:ascii="Arial" w:hAnsi="Arial" w:cs="Arial"/>
                <w:i/>
                <w:iCs/>
                <w:color w:val="222222"/>
                <w:sz w:val="20"/>
                <w:szCs w:val="20"/>
                <w:shd w:val="clear" w:color="auto" w:fill="FFFFFF"/>
              </w:rPr>
              <w:t>Medical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(12), pp.1150-1152.</w:t>
            </w:r>
          </w:p>
          <w:p w14:paraId="36032F10" w14:textId="77ADBB2B" w:rsidR="00D47A24" w:rsidRPr="000C1145" w:rsidRDefault="000C1145" w:rsidP="000C1145">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Pett, M.A., Lackey, N.R. and Sullivan, J.J., 2003. </w:t>
            </w:r>
            <w:r>
              <w:rPr>
                <w:rFonts w:ascii="Arial" w:hAnsi="Arial" w:cs="Arial"/>
                <w:i/>
                <w:iCs/>
                <w:color w:val="222222"/>
                <w:sz w:val="20"/>
                <w:szCs w:val="20"/>
                <w:shd w:val="clear" w:color="auto" w:fill="FFFFFF"/>
              </w:rPr>
              <w:t>Making sense of factor analysis: The use of factor analysis for instrument development in health care research</w:t>
            </w:r>
            <w:r>
              <w:rPr>
                <w:rFonts w:ascii="Arial" w:hAnsi="Arial" w:cs="Arial"/>
                <w:color w:val="222222"/>
                <w:sz w:val="20"/>
                <w:szCs w:val="20"/>
                <w:shd w:val="clear" w:color="auto" w:fill="FFFFFF"/>
              </w:rPr>
              <w:t>. Sage. Chapters 1-3</w:t>
            </w:r>
          </w:p>
        </w:tc>
      </w:tr>
      <w:tr w:rsidR="00D47A24" w:rsidRPr="009A7FCC" w14:paraId="4E4253EC"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733D739" w14:textId="342F51A0" w:rsidR="00D47A24" w:rsidRPr="009A7FCC" w:rsidRDefault="00D47A24" w:rsidP="00D47A24">
            <w:pPr>
              <w:rPr>
                <w:rFonts w:ascii="Arial" w:hAnsi="Arial" w:cs="Arial"/>
                <w:sz w:val="20"/>
              </w:rPr>
            </w:pPr>
            <w:r>
              <w:rPr>
                <w:rFonts w:ascii="Arial" w:hAnsi="Arial" w:cs="Arial"/>
                <w:sz w:val="20"/>
              </w:rPr>
              <w:lastRenderedPageBreak/>
              <w:t>Week 5</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25895B82" w14:textId="73508BB7" w:rsidR="00D47A24" w:rsidRDefault="00776FDA" w:rsidP="00D47A24">
            <w:pPr>
              <w:tabs>
                <w:tab w:val="left" w:pos="645"/>
                <w:tab w:val="center" w:pos="1714"/>
              </w:tabs>
              <w:rPr>
                <w:rFonts w:ascii="Arial" w:hAnsi="Arial" w:cs="Arial"/>
                <w:sz w:val="20"/>
              </w:rPr>
            </w:pPr>
            <w:r>
              <w:rPr>
                <w:rFonts w:ascii="Arial" w:hAnsi="Arial" w:cs="Arial"/>
                <w:sz w:val="20"/>
              </w:rPr>
              <w:t>Attitude Formation and Survey Response</w:t>
            </w:r>
          </w:p>
          <w:p w14:paraId="21885D66" w14:textId="77777777" w:rsidR="00D47A24" w:rsidRDefault="00D47A24" w:rsidP="00D47A24">
            <w:pPr>
              <w:jc w:val="center"/>
              <w:rPr>
                <w:rFonts w:ascii="Arial" w:hAnsi="Arial" w:cs="Arial"/>
                <w:sz w:val="20"/>
              </w:rPr>
            </w:pPr>
          </w:p>
          <w:p w14:paraId="6AD44F97" w14:textId="307D1970" w:rsidR="00D47A24" w:rsidRPr="009A7FCC" w:rsidRDefault="00D47A24" w:rsidP="00D47A24">
            <w:pPr>
              <w:rPr>
                <w:rFonts w:ascii="Arial" w:hAnsi="Arial" w:cs="Arial"/>
                <w:sz w:val="20"/>
              </w:rPr>
            </w:pP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151C975A" w14:textId="10C0AFDB" w:rsidR="00776FDA" w:rsidRPr="00776FDA" w:rsidRDefault="00776FDA" w:rsidP="00776FDA">
            <w:pPr>
              <w:pStyle w:val="ListParagraph"/>
              <w:numPr>
                <w:ilvl w:val="0"/>
                <w:numId w:val="17"/>
              </w:numPr>
              <w:spacing w:after="0" w:line="240" w:lineRule="auto"/>
              <w:ind w:left="360"/>
              <w:rPr>
                <w:rFonts w:ascii="Arial" w:eastAsia="Times New Roman" w:hAnsi="Arial" w:cs="Arial"/>
                <w:sz w:val="20"/>
                <w:szCs w:val="24"/>
              </w:rPr>
            </w:pPr>
            <w:r w:rsidRPr="00776FDA">
              <w:rPr>
                <w:rFonts w:ascii="Arial" w:hAnsi="Arial" w:cs="Arial"/>
                <w:color w:val="222222"/>
                <w:sz w:val="20"/>
                <w:shd w:val="clear" w:color="auto" w:fill="FFFFFF"/>
              </w:rPr>
              <w:t>Tourangeau, R., L. J. Rips, &amp; K. Rasinski. 2000. The Psychology of Survey Response. Cambridge: Cambridge University Press, chapter 1</w:t>
            </w:r>
          </w:p>
          <w:p w14:paraId="214BF3F7" w14:textId="77777777" w:rsidR="00776FDA" w:rsidRPr="00776FDA" w:rsidRDefault="00776FDA" w:rsidP="0044236F">
            <w:pPr>
              <w:pStyle w:val="ListParagraph"/>
              <w:numPr>
                <w:ilvl w:val="0"/>
                <w:numId w:val="17"/>
              </w:numPr>
              <w:spacing w:after="0" w:line="240" w:lineRule="auto"/>
              <w:ind w:left="360"/>
              <w:rPr>
                <w:rFonts w:ascii="Arial" w:eastAsia="Times New Roman" w:hAnsi="Arial" w:cs="Arial"/>
                <w:sz w:val="20"/>
                <w:szCs w:val="24"/>
              </w:rPr>
            </w:pPr>
            <w:r w:rsidRPr="00776FDA">
              <w:rPr>
                <w:rFonts w:ascii="Arial" w:hAnsi="Arial" w:cs="Arial"/>
                <w:sz w:val="20"/>
              </w:rPr>
              <w:t xml:space="preserve">Bishop, G.F., (2011). “Question Form, Wording, and Context Effects” </w:t>
            </w:r>
            <w:r w:rsidRPr="00776FDA">
              <w:rPr>
                <w:rFonts w:ascii="Arial" w:hAnsi="Arial" w:cs="Arial"/>
                <w:i/>
                <w:iCs/>
                <w:sz w:val="20"/>
                <w:lang w:bidi="he-IL"/>
              </w:rPr>
              <w:t xml:space="preserve">The Oxford Handbook of American Public Opinion and the Media </w:t>
            </w:r>
            <w:r w:rsidRPr="00776FDA">
              <w:rPr>
                <w:rFonts w:ascii="Arial" w:hAnsi="Arial" w:cs="Arial"/>
                <w:sz w:val="20"/>
              </w:rPr>
              <w:t>, 1-20.</w:t>
            </w:r>
          </w:p>
          <w:p w14:paraId="40801E6C" w14:textId="77777777" w:rsidR="00D47A24" w:rsidRPr="00776FDA" w:rsidRDefault="00776FDA" w:rsidP="00D47A24">
            <w:pPr>
              <w:pStyle w:val="ListParagraph"/>
              <w:numPr>
                <w:ilvl w:val="0"/>
                <w:numId w:val="17"/>
              </w:numPr>
              <w:spacing w:after="0" w:line="240" w:lineRule="auto"/>
              <w:ind w:left="360"/>
              <w:rPr>
                <w:rFonts w:ascii="Arial" w:eastAsia="Times New Roman" w:hAnsi="Arial" w:cs="Arial"/>
                <w:sz w:val="20"/>
                <w:szCs w:val="24"/>
              </w:rPr>
            </w:pPr>
            <w:r w:rsidRPr="00776FDA">
              <w:rPr>
                <w:rFonts w:ascii="Arial" w:hAnsi="Arial" w:cs="Arial"/>
                <w:color w:val="222222"/>
                <w:sz w:val="20"/>
                <w:shd w:val="clear" w:color="auto" w:fill="FFFFFF"/>
              </w:rPr>
              <w:t>Zaller, J. &amp; S. Feldman. 1992. “A Simple Theory of the Survey Response: Answering Questions versus Revealing Preferences.” American Journal of Political Science, 36: 579-615.</w:t>
            </w:r>
          </w:p>
          <w:p w14:paraId="6DFE424C" w14:textId="45D5C01C" w:rsidR="00776FDA" w:rsidRPr="00776FDA" w:rsidRDefault="00776FDA" w:rsidP="00D47A24">
            <w:pPr>
              <w:pStyle w:val="ListParagraph"/>
              <w:numPr>
                <w:ilvl w:val="0"/>
                <w:numId w:val="17"/>
              </w:numPr>
              <w:spacing w:after="0" w:line="240" w:lineRule="auto"/>
              <w:ind w:left="360"/>
              <w:rPr>
                <w:rFonts w:ascii="Arial" w:eastAsia="Times New Roman" w:hAnsi="Arial" w:cs="Arial"/>
                <w:sz w:val="20"/>
                <w:szCs w:val="24"/>
              </w:rPr>
            </w:pPr>
            <w:r w:rsidRPr="00776FDA">
              <w:rPr>
                <w:rFonts w:ascii="Arial" w:hAnsi="Arial" w:cs="Arial"/>
                <w:color w:val="222222"/>
                <w:sz w:val="20"/>
                <w:shd w:val="clear" w:color="auto" w:fill="FFFFFF"/>
              </w:rPr>
              <w:t xml:space="preserve">Groves, Fowler, Couper, Lepkowski, Singer, &amp; Tourangeau. 2009. </w:t>
            </w:r>
            <w:r w:rsidR="00A7114A">
              <w:rPr>
                <w:rFonts w:ascii="Arial" w:hAnsi="Arial" w:cs="Arial"/>
                <w:color w:val="222222"/>
                <w:sz w:val="20"/>
                <w:shd w:val="clear" w:color="auto" w:fill="FFFFFF"/>
              </w:rPr>
              <w:t>Survey Methodology. chapter 7</w:t>
            </w:r>
          </w:p>
        </w:tc>
      </w:tr>
      <w:tr w:rsidR="00D47A24" w:rsidRPr="009A7FCC" w14:paraId="729ED914"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19A5761" w14:textId="29DE10AF" w:rsidR="00D47A24" w:rsidRPr="009A7FCC" w:rsidRDefault="00D47A24" w:rsidP="00D47A24">
            <w:pPr>
              <w:rPr>
                <w:rFonts w:ascii="Arial" w:hAnsi="Arial" w:cs="Arial"/>
                <w:sz w:val="20"/>
              </w:rPr>
            </w:pPr>
            <w:r>
              <w:rPr>
                <w:rFonts w:ascii="Arial" w:hAnsi="Arial" w:cs="Arial"/>
                <w:sz w:val="20"/>
              </w:rPr>
              <w:t>Week 6</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79170B7C" w14:textId="6876606A" w:rsidR="00D47A24" w:rsidRPr="009A7FCC" w:rsidRDefault="003C2BB7" w:rsidP="00D47A24">
            <w:pPr>
              <w:rPr>
                <w:rFonts w:ascii="Arial" w:hAnsi="Arial" w:cs="Arial"/>
                <w:sz w:val="20"/>
              </w:rPr>
            </w:pPr>
            <w:r>
              <w:rPr>
                <w:rFonts w:ascii="Arial" w:hAnsi="Arial" w:cs="Arial"/>
                <w:sz w:val="20"/>
              </w:rPr>
              <w:t>General Design Issues AND Open vs. Closed Questions</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0B42429" w14:textId="37E2CB25" w:rsidR="00D47A24" w:rsidRPr="0030774C" w:rsidRDefault="003C2BB7" w:rsidP="00D47A24">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Schuman and Presser Chapters 1 and 3</w:t>
            </w:r>
          </w:p>
          <w:p w14:paraId="72FC6115" w14:textId="58009A55" w:rsidR="0030774C" w:rsidRPr="005F3410" w:rsidRDefault="0030774C" w:rsidP="0030774C">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Streiner and Norman Chapter 13</w:t>
            </w:r>
          </w:p>
          <w:p w14:paraId="56C0DC3D" w14:textId="77777777" w:rsidR="003C2BB7" w:rsidRPr="003C2BB7" w:rsidRDefault="003C2BB7" w:rsidP="00D47A24">
            <w:pPr>
              <w:pStyle w:val="NoSpacing"/>
              <w:numPr>
                <w:ilvl w:val="0"/>
                <w:numId w:val="17"/>
              </w:numPr>
              <w:ind w:left="360"/>
              <w:rPr>
                <w:rFonts w:ascii="Arial" w:hAnsi="Arial" w:cs="Arial"/>
                <w:sz w:val="20"/>
                <w:szCs w:val="20"/>
              </w:rPr>
            </w:pPr>
            <w:r>
              <w:rPr>
                <w:rFonts w:ascii="Arial" w:hAnsi="Arial" w:cs="Arial"/>
                <w:color w:val="222222"/>
                <w:sz w:val="20"/>
                <w:szCs w:val="20"/>
                <w:shd w:val="clear" w:color="auto" w:fill="FFFFFF"/>
              </w:rPr>
              <w:t>Schuman, H., Ludwig, J. and Krosnick, J.A., 1986. The perceived threat of nuclear war, salience, and open questions.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(4), pp.519-536.</w:t>
            </w:r>
          </w:p>
          <w:p w14:paraId="04209FCB" w14:textId="078F1BD9" w:rsidR="00D47A24" w:rsidRPr="00D47A24" w:rsidRDefault="003C2BB7" w:rsidP="00D47A24">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Converse, J.M., 1984. Strong arguments and weak evidence: The open/closed questioning controversy of the 1940s.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sidR="00A7114A">
              <w:rPr>
                <w:rFonts w:ascii="Arial" w:hAnsi="Arial" w:cs="Arial"/>
                <w:color w:val="222222"/>
                <w:sz w:val="20"/>
                <w:szCs w:val="20"/>
                <w:shd w:val="clear" w:color="auto" w:fill="FFFFFF"/>
              </w:rPr>
              <w:t>(1B), pp.267-282.</w:t>
            </w:r>
          </w:p>
        </w:tc>
      </w:tr>
      <w:tr w:rsidR="00D47A24" w:rsidRPr="009A7FCC" w14:paraId="34094B5E"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2FAC628" w14:textId="04234404" w:rsidR="00D47A24" w:rsidRPr="009A7FCC" w:rsidRDefault="00D47A24" w:rsidP="00D47A24">
            <w:pPr>
              <w:rPr>
                <w:rFonts w:ascii="Arial" w:hAnsi="Arial" w:cs="Arial"/>
                <w:sz w:val="20"/>
              </w:rPr>
            </w:pPr>
            <w:r>
              <w:rPr>
                <w:rFonts w:ascii="Arial" w:hAnsi="Arial" w:cs="Arial"/>
                <w:sz w:val="20"/>
              </w:rPr>
              <w:t>Week 7</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7990C9F7" w14:textId="2D0D8E82" w:rsidR="00D47A24" w:rsidRPr="009A7FCC" w:rsidRDefault="003C2BB7" w:rsidP="00D47A24">
            <w:pPr>
              <w:rPr>
                <w:rFonts w:ascii="Arial" w:hAnsi="Arial" w:cs="Arial"/>
                <w:sz w:val="20"/>
              </w:rPr>
            </w:pPr>
            <w:r>
              <w:rPr>
                <w:rFonts w:ascii="Arial" w:hAnsi="Arial" w:cs="Arial"/>
                <w:sz w:val="20"/>
              </w:rPr>
              <w:t>The Importance of Question Wording and Order</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64AA211D" w14:textId="5D95E5FB" w:rsidR="005E108D" w:rsidRPr="005046FE" w:rsidRDefault="005E108D" w:rsidP="005E108D">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Schuman and Presser Chapters 2 and 11</w:t>
            </w:r>
          </w:p>
          <w:p w14:paraId="5AA4BE6D" w14:textId="3D9AC7E8" w:rsidR="005046FE" w:rsidRPr="005E108D" w:rsidRDefault="005046FE" w:rsidP="005E108D">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Krosnick, J.A. and Alwin, D.F., 1987. An evaluation of a cognitive theory of response-order effects in survey measurement.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(2), pp.201-219.</w:t>
            </w:r>
          </w:p>
          <w:p w14:paraId="170876DA" w14:textId="46E6317C" w:rsidR="005E108D" w:rsidRPr="005E108D" w:rsidRDefault="005E108D" w:rsidP="005E108D">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Schuldt, J.P., Konrath, S.H. and Schwarz, N., 2011. “Global warming” or “climate change”? Whether the planet is warming depends on question wording.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75</w:t>
            </w:r>
            <w:r>
              <w:rPr>
                <w:rFonts w:ascii="Arial" w:hAnsi="Arial" w:cs="Arial"/>
                <w:color w:val="222222"/>
                <w:sz w:val="20"/>
                <w:szCs w:val="20"/>
                <w:shd w:val="clear" w:color="auto" w:fill="FFFFFF"/>
              </w:rPr>
              <w:t>(1), pp.115-124. (This Or Smith)</w:t>
            </w:r>
          </w:p>
          <w:p w14:paraId="2BD7E88E" w14:textId="77777777" w:rsidR="00D47A24" w:rsidRPr="005046FE" w:rsidRDefault="005E108D" w:rsidP="005E108D">
            <w:pPr>
              <w:pStyle w:val="NoSpacing"/>
              <w:numPr>
                <w:ilvl w:val="0"/>
                <w:numId w:val="17"/>
              </w:numPr>
              <w:ind w:left="360"/>
              <w:rPr>
                <w:rFonts w:ascii="Arial" w:eastAsia="Times New Roman" w:hAnsi="Arial" w:cs="Arial"/>
                <w:sz w:val="20"/>
              </w:rPr>
            </w:pPr>
            <w:r w:rsidRPr="005E108D">
              <w:rPr>
                <w:rFonts w:ascii="Arial" w:hAnsi="Arial" w:cs="Arial"/>
                <w:color w:val="222222"/>
                <w:sz w:val="20"/>
                <w:szCs w:val="20"/>
                <w:shd w:val="clear" w:color="auto" w:fill="FFFFFF"/>
              </w:rPr>
              <w:t>Smith, B.A., Murib, Z., Motta, M., Callaghan, T.H. and Theys, M., 2018. “Gay” or “Homosexual”? The Implications of Social Category Labels for the Structure of Mass Attitudes. </w:t>
            </w:r>
            <w:r w:rsidRPr="005E108D">
              <w:rPr>
                <w:rFonts w:ascii="Arial" w:hAnsi="Arial" w:cs="Arial"/>
                <w:i/>
                <w:iCs/>
                <w:color w:val="222222"/>
                <w:sz w:val="20"/>
                <w:szCs w:val="20"/>
                <w:shd w:val="clear" w:color="auto" w:fill="FFFFFF"/>
              </w:rPr>
              <w:t>American Politics Research</w:t>
            </w:r>
            <w:r w:rsidRPr="005E108D">
              <w:rPr>
                <w:rFonts w:ascii="Arial" w:hAnsi="Arial" w:cs="Arial"/>
                <w:color w:val="222222"/>
                <w:sz w:val="20"/>
                <w:szCs w:val="20"/>
                <w:shd w:val="clear" w:color="auto" w:fill="FFFFFF"/>
              </w:rPr>
              <w:t>, </w:t>
            </w:r>
            <w:r w:rsidRPr="005E108D">
              <w:rPr>
                <w:rFonts w:ascii="Arial" w:hAnsi="Arial" w:cs="Arial"/>
                <w:i/>
                <w:iCs/>
                <w:color w:val="222222"/>
                <w:sz w:val="20"/>
                <w:szCs w:val="20"/>
                <w:shd w:val="clear" w:color="auto" w:fill="FFFFFF"/>
              </w:rPr>
              <w:t>46</w:t>
            </w:r>
            <w:r w:rsidRPr="005E108D">
              <w:rPr>
                <w:rFonts w:ascii="Arial" w:hAnsi="Arial" w:cs="Arial"/>
                <w:color w:val="222222"/>
                <w:sz w:val="20"/>
                <w:szCs w:val="20"/>
                <w:shd w:val="clear" w:color="auto" w:fill="FFFFFF"/>
              </w:rPr>
              <w:t>(2), pp.336-372.</w:t>
            </w:r>
            <w:r>
              <w:rPr>
                <w:rFonts w:ascii="Arial" w:hAnsi="Arial" w:cs="Arial"/>
                <w:color w:val="222222"/>
                <w:sz w:val="20"/>
                <w:szCs w:val="20"/>
                <w:shd w:val="clear" w:color="auto" w:fill="FFFFFF"/>
              </w:rPr>
              <w:t xml:space="preserve"> (This or Schuldt)</w:t>
            </w:r>
          </w:p>
          <w:p w14:paraId="42A0F5FA" w14:textId="187BBAF7" w:rsidR="005046FE" w:rsidRPr="005E108D" w:rsidRDefault="005046FE" w:rsidP="005E108D">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Miller, J.M. and Krosnick, J.A., 1998. The impact of candidate name order on election outcomes. </w:t>
            </w:r>
            <w:r>
              <w:rPr>
                <w:rFonts w:ascii="Arial" w:hAnsi="Arial" w:cs="Arial"/>
                <w:i/>
                <w:iCs/>
                <w:color w:val="222222"/>
                <w:sz w:val="20"/>
                <w:szCs w:val="20"/>
                <w:shd w:val="clear" w:color="auto" w:fill="FFFFFF"/>
              </w:rPr>
              <w:t>Public Opinion Quarterly</w:t>
            </w:r>
            <w:r w:rsidR="00A7114A">
              <w:rPr>
                <w:rFonts w:ascii="Arial" w:hAnsi="Arial" w:cs="Arial"/>
                <w:color w:val="222222"/>
                <w:sz w:val="20"/>
                <w:szCs w:val="20"/>
                <w:shd w:val="clear" w:color="auto" w:fill="FFFFFF"/>
              </w:rPr>
              <w:t>, pp.291-330.</w:t>
            </w:r>
          </w:p>
        </w:tc>
      </w:tr>
      <w:tr w:rsidR="00D47A24" w:rsidRPr="009A7FCC" w14:paraId="10A44DAE"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39D1CEE" w14:textId="6AF855BD" w:rsidR="00D47A24" w:rsidRPr="009A7FCC" w:rsidRDefault="00D47A24" w:rsidP="00D47A24">
            <w:pPr>
              <w:rPr>
                <w:rFonts w:ascii="Arial" w:hAnsi="Arial" w:cs="Arial"/>
                <w:sz w:val="20"/>
              </w:rPr>
            </w:pPr>
            <w:r>
              <w:rPr>
                <w:rFonts w:ascii="Arial" w:hAnsi="Arial" w:cs="Arial"/>
                <w:sz w:val="20"/>
              </w:rPr>
              <w:lastRenderedPageBreak/>
              <w:t>Week 8</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1D6BB0C1" w14:textId="79C242A0" w:rsidR="00D47A24" w:rsidRPr="009A7FCC" w:rsidRDefault="005E108D" w:rsidP="00911B4D">
            <w:pPr>
              <w:rPr>
                <w:rFonts w:ascii="Arial" w:hAnsi="Arial" w:cs="Arial"/>
                <w:sz w:val="20"/>
              </w:rPr>
            </w:pPr>
            <w:r>
              <w:rPr>
                <w:rFonts w:ascii="Arial" w:hAnsi="Arial" w:cs="Arial"/>
                <w:sz w:val="20"/>
              </w:rPr>
              <w:t>Acquiescence, Satisficing, and S</w:t>
            </w:r>
            <w:r w:rsidR="00911B4D">
              <w:rPr>
                <w:rFonts w:ascii="Arial" w:hAnsi="Arial" w:cs="Arial"/>
                <w:sz w:val="20"/>
              </w:rPr>
              <w:t>ocial Desirability</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C32DC36" w14:textId="63771B2C" w:rsidR="005046FE" w:rsidRPr="0030774C" w:rsidRDefault="005046FE" w:rsidP="005046FE">
            <w:pPr>
              <w:pStyle w:val="NoSpacing"/>
              <w:numPr>
                <w:ilvl w:val="0"/>
                <w:numId w:val="17"/>
              </w:numPr>
              <w:ind w:left="360"/>
              <w:rPr>
                <w:rFonts w:ascii="Arial" w:eastAsia="Times New Roman" w:hAnsi="Arial" w:cs="Arial"/>
                <w:sz w:val="20"/>
              </w:rPr>
            </w:pPr>
            <w:r>
              <w:rPr>
                <w:rFonts w:ascii="Arial" w:hAnsi="Arial" w:cs="Arial"/>
                <w:color w:val="222222"/>
                <w:sz w:val="20"/>
                <w:szCs w:val="20"/>
                <w:shd w:val="clear" w:color="auto" w:fill="FFFFFF"/>
              </w:rPr>
              <w:t>Schuman and Presser Chapter 8</w:t>
            </w:r>
          </w:p>
          <w:p w14:paraId="0449E43A" w14:textId="1DAD6A57" w:rsidR="0030774C" w:rsidRPr="005F3410" w:rsidRDefault="0030774C" w:rsidP="0030774C">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Streiner and Norman Chapter 6</w:t>
            </w:r>
          </w:p>
          <w:p w14:paraId="3CDE837B" w14:textId="7160BFE8" w:rsidR="00D47A24" w:rsidRPr="00867197" w:rsidRDefault="005046FE"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Saris, W., Revilla, M., Krosnick, J.A. and Shaeffer, E.M., 2010, May. Comparing questions with agree/disagree response options to questions with item-specific response options. In </w:t>
            </w:r>
            <w:r>
              <w:rPr>
                <w:rFonts w:ascii="Arial" w:hAnsi="Arial" w:cs="Arial"/>
                <w:i/>
                <w:iCs/>
                <w:color w:val="222222"/>
                <w:sz w:val="20"/>
                <w:szCs w:val="20"/>
                <w:shd w:val="clear" w:color="auto" w:fill="FFFFFF"/>
              </w:rPr>
              <w:t>Survey Research Methods</w:t>
            </w:r>
            <w:r>
              <w:rPr>
                <w:rFonts w:ascii="Arial" w:hAnsi="Arial" w:cs="Arial"/>
                <w:color w:val="222222"/>
                <w:sz w:val="20"/>
                <w:szCs w:val="20"/>
                <w:shd w:val="clear" w:color="auto" w:fill="FFFFFF"/>
              </w:rPr>
              <w:t> (Vol. 4, No. 1, pp. 61-79).</w:t>
            </w:r>
          </w:p>
          <w:p w14:paraId="2D17272E" w14:textId="77777777" w:rsidR="005046FE" w:rsidRPr="005046FE" w:rsidRDefault="005046FE"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Hatchett, S. and Schuman, H., 1975. White respondents and race-of-interviewer effects. </w:t>
            </w:r>
            <w:r>
              <w:rPr>
                <w:rFonts w:ascii="Arial" w:hAnsi="Arial" w:cs="Arial"/>
                <w:i/>
                <w:iCs/>
                <w:color w:val="222222"/>
                <w:sz w:val="20"/>
                <w:szCs w:val="20"/>
                <w:shd w:val="clear" w:color="auto" w:fill="FFFFFF"/>
              </w:rPr>
              <w:t>The 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(4), pp.523-528.</w:t>
            </w:r>
          </w:p>
          <w:p w14:paraId="47688ADE" w14:textId="2B533FE3" w:rsidR="00D47A24" w:rsidRPr="00D47A24" w:rsidRDefault="005046FE"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Lax, J.R., Phillips, J.H. and Stollwerk, A.F., 2016. Are survey respondents lying about their support for same-sex marriage? Lessons from a list experiment.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80</w:t>
            </w:r>
            <w:r w:rsidR="00A7114A">
              <w:rPr>
                <w:rFonts w:ascii="Arial" w:hAnsi="Arial" w:cs="Arial"/>
                <w:color w:val="222222"/>
                <w:sz w:val="20"/>
                <w:szCs w:val="20"/>
                <w:shd w:val="clear" w:color="auto" w:fill="FFFFFF"/>
              </w:rPr>
              <w:t>(2), pp.510-533.</w:t>
            </w:r>
          </w:p>
        </w:tc>
      </w:tr>
      <w:tr w:rsidR="00D47A24" w:rsidRPr="009A7FCC" w14:paraId="611350B1"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A44B653" w14:textId="55D4282D" w:rsidR="00D47A24" w:rsidRPr="009A7FCC" w:rsidRDefault="00D47A24" w:rsidP="00D47A24">
            <w:pPr>
              <w:rPr>
                <w:rFonts w:ascii="Arial" w:hAnsi="Arial" w:cs="Arial"/>
                <w:sz w:val="20"/>
              </w:rPr>
            </w:pPr>
            <w:r>
              <w:rPr>
                <w:rFonts w:ascii="Arial" w:hAnsi="Arial" w:cs="Arial"/>
                <w:sz w:val="20"/>
              </w:rPr>
              <w:t>Week 9</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091344C7" w14:textId="2F67AFBA" w:rsidR="00D47A24" w:rsidRPr="009A7FCC" w:rsidRDefault="005046FE" w:rsidP="00D47A24">
            <w:pPr>
              <w:rPr>
                <w:rFonts w:ascii="Arial" w:hAnsi="Arial" w:cs="Arial"/>
                <w:sz w:val="20"/>
              </w:rPr>
            </w:pPr>
            <w:r>
              <w:rPr>
                <w:rFonts w:ascii="Arial" w:hAnsi="Arial" w:cs="Arial"/>
                <w:sz w:val="20"/>
              </w:rPr>
              <w:t>Don’t Knows, Middle Alternatives, and Branching</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1EC126F" w14:textId="02B9D253" w:rsidR="00D47A24" w:rsidRPr="00867197" w:rsidRDefault="005046FE"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Schuman and Presser Chapters 4 and 6</w:t>
            </w:r>
          </w:p>
          <w:p w14:paraId="27304D07" w14:textId="77777777" w:rsidR="005046FE" w:rsidRPr="005046FE" w:rsidRDefault="005046FE"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Bishop, G.F., 1987. Experiments with the middle response alternative in survey questions.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(2), pp.220-232.</w:t>
            </w:r>
          </w:p>
          <w:p w14:paraId="245D0E94" w14:textId="77777777" w:rsidR="0087513B" w:rsidRPr="0087513B" w:rsidRDefault="0087513B" w:rsidP="0087513B">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Gilbert, E.E., 2015. A comparison of branched versus unbranched rating scales for the measurement of attitudes in surveys.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79</w:t>
            </w:r>
            <w:r>
              <w:rPr>
                <w:rFonts w:ascii="Arial" w:hAnsi="Arial" w:cs="Arial"/>
                <w:color w:val="222222"/>
                <w:sz w:val="20"/>
                <w:szCs w:val="20"/>
                <w:shd w:val="clear" w:color="auto" w:fill="FFFFFF"/>
              </w:rPr>
              <w:t>(2), pp.443-470.</w:t>
            </w:r>
          </w:p>
          <w:p w14:paraId="434249BB" w14:textId="4329598B" w:rsidR="00D47A24" w:rsidRPr="0087513B" w:rsidRDefault="0087513B" w:rsidP="0087513B">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Krosnick, J.A. and Berent, M.K., 1993. Comparisons of party identification and policy preferences: The impact of survey question format.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pp.941-964.</w:t>
            </w:r>
          </w:p>
        </w:tc>
      </w:tr>
      <w:tr w:rsidR="00D47A24" w:rsidRPr="009A7FCC" w14:paraId="4A13C775"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D0B7443" w14:textId="4867311C" w:rsidR="00D47A24" w:rsidRPr="009A7FCC" w:rsidRDefault="00D47A24" w:rsidP="00D47A24">
            <w:pPr>
              <w:rPr>
                <w:rFonts w:ascii="Arial" w:hAnsi="Arial" w:cs="Arial"/>
                <w:sz w:val="20"/>
              </w:rPr>
            </w:pPr>
            <w:r>
              <w:rPr>
                <w:rFonts w:ascii="Arial" w:hAnsi="Arial" w:cs="Arial"/>
                <w:sz w:val="20"/>
              </w:rPr>
              <w:t>Week 10</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060DF4EA" w14:textId="77777777" w:rsidR="00D47A24" w:rsidRDefault="00A8698F" w:rsidP="00D47A24">
            <w:pPr>
              <w:rPr>
                <w:rFonts w:ascii="Arial" w:hAnsi="Arial" w:cs="Arial"/>
                <w:sz w:val="20"/>
              </w:rPr>
            </w:pPr>
            <w:r>
              <w:rPr>
                <w:rFonts w:ascii="Arial" w:hAnsi="Arial" w:cs="Arial"/>
                <w:sz w:val="20"/>
              </w:rPr>
              <w:t>Survey Critique Assignment Due</w:t>
            </w:r>
          </w:p>
          <w:p w14:paraId="2BF516DE" w14:textId="77777777" w:rsidR="00A8698F" w:rsidRDefault="00A8698F" w:rsidP="00D47A24">
            <w:pPr>
              <w:rPr>
                <w:rFonts w:ascii="Arial" w:hAnsi="Arial" w:cs="Arial"/>
                <w:sz w:val="20"/>
              </w:rPr>
            </w:pPr>
          </w:p>
          <w:p w14:paraId="7B77FFA2" w14:textId="10C3D38D" w:rsidR="00A8698F" w:rsidRPr="009A7FCC" w:rsidRDefault="00A8698F" w:rsidP="00D47A24">
            <w:pPr>
              <w:rPr>
                <w:rFonts w:ascii="Arial" w:hAnsi="Arial" w:cs="Arial"/>
                <w:sz w:val="20"/>
              </w:rPr>
            </w:pPr>
            <w:r>
              <w:rPr>
                <w:rFonts w:ascii="Arial" w:hAnsi="Arial" w:cs="Arial"/>
                <w:sz w:val="20"/>
              </w:rPr>
              <w:t>Fundamentals of Survey Sampling Design</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28DA56BC" w14:textId="77777777" w:rsidR="00D657C9" w:rsidRPr="00D657C9" w:rsidRDefault="00A8698F" w:rsidP="00D657C9">
            <w:pPr>
              <w:pStyle w:val="ListParagraph"/>
              <w:numPr>
                <w:ilvl w:val="0"/>
                <w:numId w:val="17"/>
              </w:numPr>
              <w:spacing w:after="0" w:line="240" w:lineRule="auto"/>
              <w:ind w:left="360"/>
              <w:rPr>
                <w:rFonts w:ascii="Arial" w:eastAsia="Times New Roman" w:hAnsi="Arial" w:cs="Arial"/>
                <w:sz w:val="20"/>
                <w:szCs w:val="20"/>
              </w:rPr>
            </w:pPr>
            <w:r w:rsidRPr="00D657C9">
              <w:rPr>
                <w:rFonts w:ascii="Arial" w:hAnsi="Arial" w:cs="Arial"/>
                <w:color w:val="222222"/>
                <w:sz w:val="20"/>
                <w:szCs w:val="20"/>
                <w:shd w:val="clear" w:color="auto" w:fill="FFFFFF"/>
              </w:rPr>
              <w:t>Lohr, S., 2009. </w:t>
            </w:r>
            <w:r w:rsidRPr="00D657C9">
              <w:rPr>
                <w:rFonts w:ascii="Arial" w:hAnsi="Arial" w:cs="Arial"/>
                <w:i/>
                <w:iCs/>
                <w:color w:val="222222"/>
                <w:sz w:val="20"/>
                <w:szCs w:val="20"/>
                <w:shd w:val="clear" w:color="auto" w:fill="FFFFFF"/>
              </w:rPr>
              <w:t>Sampling: design and analysis</w:t>
            </w:r>
            <w:r w:rsidRPr="00D657C9">
              <w:rPr>
                <w:rFonts w:ascii="Arial" w:hAnsi="Arial" w:cs="Arial"/>
                <w:color w:val="222222"/>
                <w:sz w:val="20"/>
                <w:szCs w:val="20"/>
                <w:shd w:val="clear" w:color="auto" w:fill="FFFFFF"/>
              </w:rPr>
              <w:t>. Nelson Education. Chapters 2, 3, and 5</w:t>
            </w:r>
          </w:p>
          <w:p w14:paraId="4596ED20" w14:textId="2710DB8D" w:rsidR="00D47A24" w:rsidRPr="00D657C9" w:rsidRDefault="00D657C9" w:rsidP="00D657C9">
            <w:pPr>
              <w:pStyle w:val="ListParagraph"/>
              <w:numPr>
                <w:ilvl w:val="0"/>
                <w:numId w:val="17"/>
              </w:numPr>
              <w:spacing w:after="0" w:line="240" w:lineRule="auto"/>
              <w:ind w:left="360"/>
              <w:rPr>
                <w:rFonts w:ascii="Arial" w:eastAsia="Times New Roman" w:hAnsi="Arial" w:cs="Arial"/>
                <w:sz w:val="20"/>
                <w:szCs w:val="20"/>
              </w:rPr>
            </w:pPr>
            <w:r w:rsidRPr="00D657C9">
              <w:rPr>
                <w:rFonts w:ascii="Arial" w:hAnsi="Arial" w:cs="Arial"/>
                <w:sz w:val="20"/>
                <w:szCs w:val="20"/>
              </w:rPr>
              <w:t xml:space="preserve">Groves, Fowler, Couper, Lepkowski, Singer, &amp; Tourangeau.  2009.  </w:t>
            </w:r>
            <w:r w:rsidRPr="00D657C9">
              <w:rPr>
                <w:rFonts w:ascii="Arial" w:hAnsi="Arial" w:cs="Arial"/>
                <w:sz w:val="20"/>
                <w:szCs w:val="20"/>
                <w:u w:val="single"/>
              </w:rPr>
              <w:t>Survey Methodology</w:t>
            </w:r>
            <w:r w:rsidRPr="00D657C9">
              <w:rPr>
                <w:rFonts w:ascii="Arial" w:hAnsi="Arial" w:cs="Arial"/>
                <w:sz w:val="20"/>
                <w:szCs w:val="20"/>
              </w:rPr>
              <w:t>. NY: Wiley &amp; Sons. (pages 103-1</w:t>
            </w:r>
            <w:r>
              <w:rPr>
                <w:rFonts w:ascii="Arial" w:hAnsi="Arial" w:cs="Arial"/>
                <w:sz w:val="20"/>
                <w:szCs w:val="20"/>
              </w:rPr>
              <w:t>37</w:t>
            </w:r>
            <w:r w:rsidRPr="00D657C9">
              <w:rPr>
                <w:rFonts w:ascii="Arial" w:hAnsi="Arial" w:cs="Arial"/>
                <w:sz w:val="20"/>
                <w:szCs w:val="20"/>
              </w:rPr>
              <w:t>)</w:t>
            </w:r>
          </w:p>
        </w:tc>
      </w:tr>
      <w:tr w:rsidR="00D47A24" w:rsidRPr="009A7FCC" w14:paraId="59DC8300"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3D79D61" w14:textId="131BB2EA" w:rsidR="00D47A24" w:rsidRPr="009A7FCC" w:rsidRDefault="00D47A24" w:rsidP="00D47A24">
            <w:pPr>
              <w:rPr>
                <w:rFonts w:ascii="Arial" w:hAnsi="Arial" w:cs="Arial"/>
                <w:sz w:val="20"/>
              </w:rPr>
            </w:pPr>
            <w:r>
              <w:rPr>
                <w:rFonts w:ascii="Arial" w:hAnsi="Arial" w:cs="Arial"/>
                <w:sz w:val="20"/>
              </w:rPr>
              <w:t>Week 11</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31BD9630" w14:textId="578EC32B" w:rsidR="00D47A24" w:rsidRPr="009A7FCC" w:rsidRDefault="00D657C9" w:rsidP="00D47A24">
            <w:pPr>
              <w:rPr>
                <w:rFonts w:ascii="Arial" w:hAnsi="Arial" w:cs="Arial"/>
                <w:sz w:val="20"/>
              </w:rPr>
            </w:pPr>
            <w:r>
              <w:rPr>
                <w:rFonts w:ascii="Arial" w:hAnsi="Arial" w:cs="Arial"/>
                <w:sz w:val="20"/>
              </w:rPr>
              <w:t>Respondent Recruitment and Sample Data Quality</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FEE9E8E" w14:textId="45A3E2B7" w:rsidR="00D657C9" w:rsidRPr="00D657C9" w:rsidRDefault="00D657C9" w:rsidP="00D47A24">
            <w:pPr>
              <w:pStyle w:val="ListParagraph"/>
              <w:numPr>
                <w:ilvl w:val="0"/>
                <w:numId w:val="17"/>
              </w:numPr>
              <w:spacing w:after="0" w:line="240" w:lineRule="auto"/>
              <w:ind w:left="360"/>
              <w:rPr>
                <w:rFonts w:ascii="Arial" w:eastAsia="Times New Roman" w:hAnsi="Arial" w:cs="Arial"/>
                <w:sz w:val="16"/>
                <w:szCs w:val="24"/>
              </w:rPr>
            </w:pPr>
            <w:r>
              <w:rPr>
                <w:rFonts w:ascii="Arial" w:hAnsi="Arial" w:cs="Arial"/>
                <w:color w:val="222222"/>
                <w:sz w:val="20"/>
                <w:szCs w:val="20"/>
                <w:shd w:val="clear" w:color="auto" w:fill="FFFFFF"/>
              </w:rPr>
              <w:t>Cummings, K.M., 1979. Random digit dialing: a sampling technique for telephone surveys.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43</w:t>
            </w:r>
            <w:r>
              <w:rPr>
                <w:rFonts w:ascii="Arial" w:hAnsi="Arial" w:cs="Arial"/>
                <w:color w:val="222222"/>
                <w:sz w:val="20"/>
                <w:szCs w:val="20"/>
                <w:shd w:val="clear" w:color="auto" w:fill="FFFFFF"/>
              </w:rPr>
              <w:t>(2), pp.233-244.</w:t>
            </w:r>
          </w:p>
          <w:p w14:paraId="0A8FF933" w14:textId="133B2B08" w:rsidR="00D657C9" w:rsidRPr="00D657C9" w:rsidRDefault="00D657C9" w:rsidP="00D47A24">
            <w:pPr>
              <w:pStyle w:val="ListParagraph"/>
              <w:numPr>
                <w:ilvl w:val="0"/>
                <w:numId w:val="17"/>
              </w:numPr>
              <w:spacing w:after="0" w:line="240" w:lineRule="auto"/>
              <w:ind w:left="360"/>
              <w:rPr>
                <w:rFonts w:ascii="Arial" w:eastAsia="Times New Roman" w:hAnsi="Arial" w:cs="Arial"/>
                <w:sz w:val="16"/>
                <w:szCs w:val="24"/>
              </w:rPr>
            </w:pPr>
            <w:r w:rsidRPr="00D657C9">
              <w:rPr>
                <w:rFonts w:ascii="Arial" w:hAnsi="Arial" w:cs="Arial"/>
                <w:sz w:val="20"/>
                <w:szCs w:val="24"/>
              </w:rPr>
              <w:t xml:space="preserve">Lynn, Peter and Olena Kaminska. 2013. “The Impact of Mobile Phones on Survey Measurement Error.” </w:t>
            </w:r>
            <w:r w:rsidRPr="00D657C9">
              <w:rPr>
                <w:rFonts w:ascii="Arial" w:hAnsi="Arial" w:cs="Arial"/>
                <w:iCs/>
                <w:sz w:val="20"/>
                <w:szCs w:val="24"/>
                <w:u w:val="single"/>
              </w:rPr>
              <w:t>Public Opinion Quarterly</w:t>
            </w:r>
            <w:r w:rsidRPr="00D657C9">
              <w:rPr>
                <w:rFonts w:ascii="Arial" w:hAnsi="Arial" w:cs="Arial"/>
                <w:sz w:val="20"/>
                <w:szCs w:val="24"/>
              </w:rPr>
              <w:t xml:space="preserve"> 77: 586-605.</w:t>
            </w:r>
          </w:p>
          <w:p w14:paraId="3DA60E03" w14:textId="77777777" w:rsidR="00D657C9" w:rsidRPr="00D657C9" w:rsidRDefault="00D657C9"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 xml:space="preserve">Keeter, S., Kennedy, C., Dimock, M., Best, J. and Craighill, P., 2006. Gauging the impact of growing nonresponse on estimates from a </w:t>
            </w:r>
            <w:r>
              <w:rPr>
                <w:rFonts w:ascii="Arial" w:hAnsi="Arial" w:cs="Arial"/>
                <w:color w:val="222222"/>
                <w:sz w:val="20"/>
                <w:szCs w:val="20"/>
                <w:shd w:val="clear" w:color="auto" w:fill="FFFFFF"/>
              </w:rPr>
              <w:lastRenderedPageBreak/>
              <w:t>national RDD telephone survey. </w:t>
            </w:r>
            <w:r>
              <w:rPr>
                <w:rFonts w:ascii="Arial" w:hAnsi="Arial" w:cs="Arial"/>
                <w:i/>
                <w:iCs/>
                <w:color w:val="222222"/>
                <w:sz w:val="20"/>
                <w:szCs w:val="20"/>
                <w:shd w:val="clear" w:color="auto" w:fill="FFFFFF"/>
              </w:rPr>
              <w:t>International Journal of 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70</w:t>
            </w:r>
            <w:r>
              <w:rPr>
                <w:rFonts w:ascii="Arial" w:hAnsi="Arial" w:cs="Arial"/>
                <w:color w:val="222222"/>
                <w:sz w:val="20"/>
                <w:szCs w:val="20"/>
                <w:shd w:val="clear" w:color="auto" w:fill="FFFFFF"/>
              </w:rPr>
              <w:t>(5), pp.759-779.</w:t>
            </w:r>
          </w:p>
          <w:p w14:paraId="5D627D59" w14:textId="77777777" w:rsidR="0066463F" w:rsidRPr="0066463F" w:rsidRDefault="0066463F"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Yeager, D.S., Krosnick, J.A., Chang, L., Javitz, H.S., Levendusky, M.S., Simpser, A. and Wang, R., 2011. Comparing the accuracy of RDD telephone surveys and internet surveys conducted with probability and non-probability samples.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75</w:t>
            </w:r>
            <w:r>
              <w:rPr>
                <w:rFonts w:ascii="Arial" w:hAnsi="Arial" w:cs="Arial"/>
                <w:color w:val="222222"/>
                <w:sz w:val="20"/>
                <w:szCs w:val="20"/>
                <w:shd w:val="clear" w:color="auto" w:fill="FFFFFF"/>
              </w:rPr>
              <w:t>(4), pp.709-747.</w:t>
            </w:r>
          </w:p>
          <w:p w14:paraId="51378455" w14:textId="7C99E925" w:rsidR="00D47A24" w:rsidRPr="00D47A24" w:rsidRDefault="00D657C9" w:rsidP="00D47A24">
            <w:pPr>
              <w:pStyle w:val="ListParagraph"/>
              <w:numPr>
                <w:ilvl w:val="0"/>
                <w:numId w:val="17"/>
              </w:numPr>
              <w:spacing w:after="0" w:line="240" w:lineRule="auto"/>
              <w:ind w:left="360"/>
              <w:rPr>
                <w:rFonts w:ascii="Arial" w:eastAsia="Times New Roman" w:hAnsi="Arial" w:cs="Arial"/>
                <w:sz w:val="20"/>
                <w:szCs w:val="24"/>
              </w:rPr>
            </w:pPr>
            <w:r>
              <w:rPr>
                <w:rFonts w:ascii="Arial" w:hAnsi="Arial" w:cs="Arial"/>
                <w:color w:val="222222"/>
                <w:sz w:val="20"/>
                <w:szCs w:val="20"/>
                <w:shd w:val="clear" w:color="auto" w:fill="FFFFFF"/>
              </w:rPr>
              <w:t>Iannacchione, V.G., 2011. The changing role of address-based sampling in survey research.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75</w:t>
            </w:r>
            <w:r w:rsidR="00A7114A">
              <w:rPr>
                <w:rFonts w:ascii="Arial" w:hAnsi="Arial" w:cs="Arial"/>
                <w:color w:val="222222"/>
                <w:sz w:val="20"/>
                <w:szCs w:val="20"/>
                <w:shd w:val="clear" w:color="auto" w:fill="FFFFFF"/>
              </w:rPr>
              <w:t>(3), pp.556-575.</w:t>
            </w:r>
          </w:p>
        </w:tc>
      </w:tr>
      <w:tr w:rsidR="00D47A24" w:rsidRPr="009A7FCC" w14:paraId="0180AFBB"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B9A73D5" w14:textId="54FD059F" w:rsidR="00D47A24" w:rsidRPr="009A7FCC" w:rsidRDefault="00D47A24" w:rsidP="00D47A24">
            <w:pPr>
              <w:rPr>
                <w:rFonts w:ascii="Arial" w:hAnsi="Arial" w:cs="Arial"/>
                <w:sz w:val="20"/>
              </w:rPr>
            </w:pPr>
            <w:r>
              <w:rPr>
                <w:rFonts w:ascii="Arial" w:hAnsi="Arial" w:cs="Arial"/>
                <w:sz w:val="20"/>
              </w:rPr>
              <w:lastRenderedPageBreak/>
              <w:t>Week 12</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6F5AB49A" w14:textId="0B6131CB" w:rsidR="00D47A24" w:rsidRPr="009A7FCC" w:rsidRDefault="00913EBE" w:rsidP="00D47A24">
            <w:pPr>
              <w:rPr>
                <w:rFonts w:ascii="Arial" w:hAnsi="Arial" w:cs="Arial"/>
                <w:sz w:val="20"/>
              </w:rPr>
            </w:pPr>
            <w:r>
              <w:rPr>
                <w:rFonts w:ascii="Arial" w:hAnsi="Arial" w:cs="Arial"/>
                <w:sz w:val="20"/>
              </w:rPr>
              <w:t>The Benefits and Limitations of Convenience Samples</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676EB363" w14:textId="77777777" w:rsidR="00913EBE" w:rsidRPr="00913EBE" w:rsidRDefault="00913EBE"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Motta, M.P., Callaghan, T.H. and Smith, B., 2016. Looking for Answers: Identifying Search Behavior and Improving Knowledge-Based Data Quality in Online Surveys. </w:t>
            </w:r>
            <w:r>
              <w:rPr>
                <w:rFonts w:ascii="Arial" w:hAnsi="Arial" w:cs="Arial"/>
                <w:i/>
                <w:iCs/>
                <w:color w:val="222222"/>
                <w:sz w:val="20"/>
                <w:szCs w:val="20"/>
                <w:shd w:val="clear" w:color="auto" w:fill="FFFFFF"/>
              </w:rPr>
              <w:t>International Journal of Public Opinion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(4), pp.575-603.</w:t>
            </w:r>
          </w:p>
          <w:p w14:paraId="52BAD974" w14:textId="77777777" w:rsidR="00D47A24" w:rsidRPr="00913EBE" w:rsidRDefault="00913EBE"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Huff, C. and Tingley, D., 2015. “Who are these people?” Evaluating the demographic characteristics and political preferences of MTurk survey respondents. </w:t>
            </w:r>
            <w:r>
              <w:rPr>
                <w:rFonts w:ascii="Arial" w:hAnsi="Arial" w:cs="Arial"/>
                <w:i/>
                <w:iCs/>
                <w:color w:val="222222"/>
                <w:sz w:val="20"/>
                <w:szCs w:val="20"/>
                <w:shd w:val="clear" w:color="auto" w:fill="FFFFFF"/>
              </w:rPr>
              <w:t>Research &amp; Politics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(3), p.2053168015604648.</w:t>
            </w:r>
          </w:p>
          <w:p w14:paraId="50C9365F" w14:textId="77777777" w:rsidR="00913EBE" w:rsidRPr="00913EBE" w:rsidRDefault="00913EBE"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Clifford, S. and Jerit, J., 2014. Is there a cost to convenience? An experimental comparison of data quality in laboratory and online studies. </w:t>
            </w:r>
            <w:r>
              <w:rPr>
                <w:rFonts w:ascii="Arial" w:hAnsi="Arial" w:cs="Arial"/>
                <w:i/>
                <w:iCs/>
                <w:color w:val="222222"/>
                <w:sz w:val="20"/>
                <w:szCs w:val="20"/>
                <w:shd w:val="clear" w:color="auto" w:fill="FFFFFF"/>
              </w:rPr>
              <w:t>Journal of Experimental Political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(2), pp.120-131.</w:t>
            </w:r>
          </w:p>
          <w:p w14:paraId="05CF6C76" w14:textId="308CF2E8" w:rsidR="00913EBE" w:rsidRPr="00D47A24" w:rsidRDefault="00913EBE"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Greenberg, J., 1987. The college sophomore as guinea pig: Setting the record straight. </w:t>
            </w:r>
            <w:r>
              <w:rPr>
                <w:rFonts w:ascii="Arial" w:hAnsi="Arial" w:cs="Arial"/>
                <w:i/>
                <w:iCs/>
                <w:color w:val="222222"/>
                <w:sz w:val="20"/>
                <w:szCs w:val="20"/>
                <w:shd w:val="clear" w:color="auto" w:fill="FFFFFF"/>
              </w:rPr>
              <w:t>Academy of Management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pp.157-159.</w:t>
            </w:r>
          </w:p>
        </w:tc>
      </w:tr>
      <w:tr w:rsidR="00D47A24" w:rsidRPr="009A7FCC" w14:paraId="5485F65C"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0E249A3" w14:textId="1A3290F7" w:rsidR="00D47A24" w:rsidRPr="009A7FCC" w:rsidRDefault="00D47A24" w:rsidP="00D47A24">
            <w:pPr>
              <w:rPr>
                <w:rFonts w:ascii="Arial" w:hAnsi="Arial" w:cs="Arial"/>
                <w:sz w:val="20"/>
              </w:rPr>
            </w:pPr>
            <w:r>
              <w:rPr>
                <w:rFonts w:ascii="Arial" w:hAnsi="Arial" w:cs="Arial"/>
                <w:sz w:val="20"/>
              </w:rPr>
              <w:t>Week 13</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38D09179" w14:textId="1D62A766" w:rsidR="00A023E0" w:rsidRDefault="00A023E0" w:rsidP="00A023E0">
            <w:pPr>
              <w:rPr>
                <w:rFonts w:ascii="Arial" w:hAnsi="Arial" w:cs="Arial"/>
                <w:sz w:val="20"/>
              </w:rPr>
            </w:pPr>
            <w:r>
              <w:rPr>
                <w:rFonts w:ascii="Arial" w:hAnsi="Arial" w:cs="Arial"/>
                <w:sz w:val="20"/>
              </w:rPr>
              <w:t>Sampling Rare Populations</w:t>
            </w:r>
          </w:p>
          <w:p w14:paraId="3469AF77" w14:textId="77777777" w:rsidR="00A023E0" w:rsidRDefault="00A023E0" w:rsidP="00A023E0">
            <w:pPr>
              <w:rPr>
                <w:rFonts w:ascii="Arial" w:hAnsi="Arial" w:cs="Arial"/>
                <w:sz w:val="20"/>
              </w:rPr>
            </w:pPr>
          </w:p>
          <w:p w14:paraId="557D4045" w14:textId="77777777" w:rsidR="00A023E0" w:rsidRDefault="00A023E0" w:rsidP="00A023E0">
            <w:pPr>
              <w:rPr>
                <w:rFonts w:ascii="Arial" w:hAnsi="Arial" w:cs="Arial"/>
                <w:sz w:val="20"/>
              </w:rPr>
            </w:pPr>
          </w:p>
          <w:p w14:paraId="41178151" w14:textId="77777777" w:rsidR="00A023E0" w:rsidRDefault="00A023E0" w:rsidP="00A023E0">
            <w:pPr>
              <w:rPr>
                <w:rFonts w:ascii="Arial" w:hAnsi="Arial" w:cs="Arial"/>
                <w:sz w:val="20"/>
              </w:rPr>
            </w:pPr>
          </w:p>
          <w:p w14:paraId="3DC8C9A2" w14:textId="77777777" w:rsidR="00A023E0" w:rsidRDefault="00A023E0" w:rsidP="00A023E0">
            <w:pPr>
              <w:rPr>
                <w:rFonts w:ascii="Arial" w:hAnsi="Arial" w:cs="Arial"/>
                <w:sz w:val="20"/>
              </w:rPr>
            </w:pPr>
          </w:p>
          <w:p w14:paraId="5AEC1116" w14:textId="77777777" w:rsidR="00A023E0" w:rsidRDefault="00A023E0" w:rsidP="00A023E0">
            <w:pPr>
              <w:rPr>
                <w:rFonts w:ascii="Arial" w:hAnsi="Arial" w:cs="Arial"/>
                <w:sz w:val="20"/>
              </w:rPr>
            </w:pPr>
          </w:p>
          <w:p w14:paraId="442FCE9A" w14:textId="6CBCBA1C" w:rsidR="00D47A24" w:rsidRPr="009A7FCC" w:rsidRDefault="00D47A24" w:rsidP="00A023E0">
            <w:pPr>
              <w:rPr>
                <w:rFonts w:ascii="Arial" w:hAnsi="Arial" w:cs="Arial"/>
                <w:sz w:val="20"/>
              </w:rPr>
            </w:pP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050FADB2" w14:textId="77777777" w:rsidR="00A023E0" w:rsidRPr="00A023E0" w:rsidRDefault="00A023E0"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Bloch, A., 2004. Survey research with refugees: a methodological perspective. </w:t>
            </w:r>
            <w:r>
              <w:rPr>
                <w:rFonts w:ascii="Arial" w:hAnsi="Arial" w:cs="Arial"/>
                <w:i/>
                <w:iCs/>
                <w:color w:val="222222"/>
                <w:sz w:val="20"/>
                <w:szCs w:val="20"/>
                <w:shd w:val="clear" w:color="auto" w:fill="FFFFFF"/>
              </w:rPr>
              <w:t>Policy Studies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 xml:space="preserve">(2), pp.139-151. </w:t>
            </w:r>
          </w:p>
          <w:p w14:paraId="3B80E379" w14:textId="77777777" w:rsidR="00D47A24" w:rsidRPr="00A023E0" w:rsidRDefault="00A023E0"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Brickman Bhutta, C., 2012. Not by the book: Facebook as a sampling frame. </w:t>
            </w:r>
            <w:r>
              <w:rPr>
                <w:rFonts w:ascii="Arial" w:hAnsi="Arial" w:cs="Arial"/>
                <w:i/>
                <w:iCs/>
                <w:color w:val="222222"/>
                <w:sz w:val="20"/>
                <w:szCs w:val="20"/>
                <w:shd w:val="clear" w:color="auto" w:fill="FFFFFF"/>
              </w:rPr>
              <w:t>Sociological Methods &amp;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(1), pp.57-88.</w:t>
            </w:r>
          </w:p>
          <w:p w14:paraId="74DBBE0D" w14:textId="77777777" w:rsidR="00A023E0" w:rsidRPr="00A023E0" w:rsidRDefault="00A023E0"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Miller, K.W., Wilder, L.B., Stillman, F.A. and Becker, D.M., 1997. The feasibility of a street-intercept survey method in an African-American community. </w:t>
            </w:r>
            <w:r>
              <w:rPr>
                <w:rFonts w:ascii="Arial" w:hAnsi="Arial" w:cs="Arial"/>
                <w:i/>
                <w:iCs/>
                <w:color w:val="222222"/>
                <w:sz w:val="20"/>
                <w:szCs w:val="20"/>
                <w:shd w:val="clear" w:color="auto" w:fill="FFFFFF"/>
              </w:rPr>
              <w:t>American Journal of Public Health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87</w:t>
            </w:r>
            <w:r>
              <w:rPr>
                <w:rFonts w:ascii="Arial" w:hAnsi="Arial" w:cs="Arial"/>
                <w:color w:val="222222"/>
                <w:sz w:val="20"/>
                <w:szCs w:val="20"/>
                <w:shd w:val="clear" w:color="auto" w:fill="FFFFFF"/>
              </w:rPr>
              <w:t>(4), pp.655-658.</w:t>
            </w:r>
          </w:p>
          <w:p w14:paraId="7915CDD2" w14:textId="2A0B068A" w:rsidR="00A023E0" w:rsidRPr="00D47A24" w:rsidRDefault="00A023E0" w:rsidP="00D47A24">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 xml:space="preserve">Dutwin, D. and Lopez, M.H., 2014. Considerations of survey error in </w:t>
            </w:r>
            <w:r>
              <w:rPr>
                <w:rFonts w:ascii="Arial" w:hAnsi="Arial" w:cs="Arial"/>
                <w:color w:val="222222"/>
                <w:sz w:val="20"/>
                <w:szCs w:val="20"/>
                <w:shd w:val="clear" w:color="auto" w:fill="FFFFFF"/>
              </w:rPr>
              <w:lastRenderedPageBreak/>
              <w:t>surveys of hispanics. </w:t>
            </w:r>
            <w:r>
              <w:rPr>
                <w:rFonts w:ascii="Arial" w:hAnsi="Arial" w:cs="Arial"/>
                <w:i/>
                <w:iCs/>
                <w:color w:val="222222"/>
                <w:sz w:val="20"/>
                <w:szCs w:val="20"/>
                <w:shd w:val="clear" w:color="auto" w:fill="FFFFFF"/>
              </w:rPr>
              <w:t>Public Opinion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78</w:t>
            </w:r>
            <w:r>
              <w:rPr>
                <w:rFonts w:ascii="Arial" w:hAnsi="Arial" w:cs="Arial"/>
                <w:color w:val="222222"/>
                <w:sz w:val="20"/>
                <w:szCs w:val="20"/>
                <w:shd w:val="clear" w:color="auto" w:fill="FFFFFF"/>
              </w:rPr>
              <w:t>(2), pp.392-415.</w:t>
            </w:r>
          </w:p>
        </w:tc>
      </w:tr>
      <w:tr w:rsidR="00CD6515" w:rsidRPr="009A7FCC" w14:paraId="736ED78C"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249180A" w14:textId="433B8881" w:rsidR="00CD6515" w:rsidRPr="009A7FCC" w:rsidRDefault="00CD6515" w:rsidP="00CD6515">
            <w:pPr>
              <w:rPr>
                <w:rFonts w:ascii="Arial" w:hAnsi="Arial" w:cs="Arial"/>
                <w:sz w:val="20"/>
              </w:rPr>
            </w:pPr>
            <w:r>
              <w:rPr>
                <w:rFonts w:ascii="Arial" w:hAnsi="Arial" w:cs="Arial"/>
                <w:sz w:val="20"/>
              </w:rPr>
              <w:lastRenderedPageBreak/>
              <w:t>Week 14</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50F4A552" w14:textId="4FC4FD6A" w:rsidR="00CD6515" w:rsidRDefault="00A023E0" w:rsidP="00CD6515">
            <w:pPr>
              <w:rPr>
                <w:rFonts w:ascii="Arial" w:hAnsi="Arial" w:cs="Arial"/>
                <w:sz w:val="20"/>
              </w:rPr>
            </w:pPr>
            <w:r>
              <w:rPr>
                <w:rFonts w:ascii="Arial" w:hAnsi="Arial" w:cs="Arial"/>
                <w:sz w:val="20"/>
              </w:rPr>
              <w:t xml:space="preserve">Monday: </w:t>
            </w:r>
            <w:r w:rsidR="00A8698F">
              <w:rPr>
                <w:rFonts w:ascii="Arial" w:hAnsi="Arial" w:cs="Arial"/>
                <w:sz w:val="20"/>
              </w:rPr>
              <w:t>Survey Weighting</w:t>
            </w:r>
          </w:p>
          <w:p w14:paraId="54771EE4" w14:textId="77777777" w:rsidR="00CD6515" w:rsidRDefault="00CD6515" w:rsidP="00CD6515">
            <w:pPr>
              <w:rPr>
                <w:rFonts w:ascii="Arial" w:hAnsi="Arial" w:cs="Arial"/>
                <w:sz w:val="20"/>
              </w:rPr>
            </w:pPr>
          </w:p>
          <w:p w14:paraId="78E90470" w14:textId="77777777" w:rsidR="00CD6515" w:rsidRDefault="00CD6515" w:rsidP="00CD6515">
            <w:pPr>
              <w:rPr>
                <w:rFonts w:ascii="Arial" w:hAnsi="Arial" w:cs="Arial"/>
                <w:sz w:val="20"/>
              </w:rPr>
            </w:pPr>
          </w:p>
          <w:p w14:paraId="1E5C474F" w14:textId="77777777" w:rsidR="00CD6515" w:rsidRDefault="00CD6515" w:rsidP="00CD6515">
            <w:pPr>
              <w:rPr>
                <w:rFonts w:ascii="Arial" w:hAnsi="Arial" w:cs="Arial"/>
                <w:sz w:val="20"/>
              </w:rPr>
            </w:pPr>
          </w:p>
          <w:p w14:paraId="552856AC" w14:textId="77777777" w:rsidR="00CD6515" w:rsidRDefault="00CD6515" w:rsidP="00CD6515">
            <w:pPr>
              <w:rPr>
                <w:rFonts w:ascii="Arial" w:hAnsi="Arial" w:cs="Arial"/>
                <w:sz w:val="20"/>
              </w:rPr>
            </w:pPr>
          </w:p>
          <w:p w14:paraId="0791EE70" w14:textId="77777777" w:rsidR="00CD6515" w:rsidRDefault="00CD6515" w:rsidP="00CD6515">
            <w:pPr>
              <w:rPr>
                <w:rFonts w:ascii="Arial" w:hAnsi="Arial" w:cs="Arial"/>
                <w:sz w:val="20"/>
              </w:rPr>
            </w:pPr>
          </w:p>
          <w:p w14:paraId="392C11B3" w14:textId="49737D01" w:rsidR="00CD6515" w:rsidRPr="009A7FCC" w:rsidRDefault="00CD6515" w:rsidP="00CD6515">
            <w:pPr>
              <w:rPr>
                <w:rFonts w:ascii="Arial" w:hAnsi="Arial" w:cs="Arial"/>
                <w:sz w:val="20"/>
              </w:rPr>
            </w:pPr>
            <w:r>
              <w:rPr>
                <w:rFonts w:ascii="Arial" w:hAnsi="Arial" w:cs="Arial"/>
                <w:sz w:val="20"/>
              </w:rPr>
              <w:t xml:space="preserve">Wednesday: </w:t>
            </w:r>
            <w:r w:rsidR="00A023E0">
              <w:rPr>
                <w:rFonts w:ascii="Arial" w:hAnsi="Arial" w:cs="Arial"/>
                <w:sz w:val="20"/>
              </w:rPr>
              <w:t>Peer Review of Final Survey Assignments</w:t>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4A28B6F0" w14:textId="77777777" w:rsidR="00CD6515" w:rsidRDefault="00A8698F" w:rsidP="00A023E0">
            <w:pPr>
              <w:pStyle w:val="ListParagraph"/>
              <w:numPr>
                <w:ilvl w:val="0"/>
                <w:numId w:val="17"/>
              </w:numPr>
              <w:spacing w:after="0" w:line="240" w:lineRule="auto"/>
              <w:ind w:left="360"/>
              <w:rPr>
                <w:rFonts w:ascii="Arial" w:hAnsi="Arial" w:cs="Arial"/>
                <w:sz w:val="20"/>
              </w:rPr>
            </w:pPr>
            <w:r>
              <w:rPr>
                <w:rFonts w:ascii="Arial" w:hAnsi="Arial" w:cs="Arial"/>
                <w:sz w:val="20"/>
              </w:rPr>
              <w:t>Motta, Matthew. 2017. “Special Topics in Data Analysis Using the 2016 CSPP National Panel Election Study.</w:t>
            </w:r>
          </w:p>
          <w:p w14:paraId="6AAFC03D" w14:textId="68E9EB44" w:rsidR="00A8698F" w:rsidRPr="009A7FCC" w:rsidRDefault="00A8698F" w:rsidP="00A023E0">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Miratrix, L.W., Sekhon, J.S., Theodoridis, A.G. and Campos, L.F., 2018. Worth Weighting? How to Think About and Use Weights in Survey Experiments.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pp.1-17.</w:t>
            </w:r>
          </w:p>
        </w:tc>
      </w:tr>
      <w:tr w:rsidR="00CD6515" w:rsidRPr="009A7FCC" w14:paraId="6EB79749" w14:textId="77777777" w:rsidTr="00C45DB7">
        <w:trPr>
          <w:gridAfter w:val="1"/>
          <w:wAfter w:w="11" w:type="dxa"/>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E500B91" w14:textId="71379B52" w:rsidR="00CD6515" w:rsidRPr="009A7FCC" w:rsidRDefault="00CD6515" w:rsidP="00CD6515">
            <w:pPr>
              <w:rPr>
                <w:rFonts w:ascii="Arial" w:hAnsi="Arial" w:cs="Arial"/>
                <w:sz w:val="20"/>
              </w:rPr>
            </w:pPr>
            <w:r>
              <w:rPr>
                <w:rFonts w:ascii="Arial" w:hAnsi="Arial" w:cs="Arial"/>
                <w:sz w:val="20"/>
              </w:rPr>
              <w:t>Week 15</w:t>
            </w:r>
          </w:p>
        </w:tc>
        <w:tc>
          <w:tcPr>
            <w:tcW w:w="3881" w:type="dxa"/>
            <w:gridSpan w:val="2"/>
            <w:tcBorders>
              <w:top w:val="single" w:sz="4" w:space="0" w:color="auto"/>
              <w:left w:val="single" w:sz="4" w:space="0" w:color="auto"/>
              <w:bottom w:val="single" w:sz="4" w:space="0" w:color="auto"/>
              <w:right w:val="single" w:sz="4" w:space="0" w:color="auto"/>
            </w:tcBorders>
            <w:shd w:val="clear" w:color="auto" w:fill="auto"/>
          </w:tcPr>
          <w:p w14:paraId="3C21AF3F" w14:textId="77777777" w:rsidR="00CD6515" w:rsidRDefault="00CD6515" w:rsidP="00A023E0">
            <w:pPr>
              <w:rPr>
                <w:rFonts w:ascii="Arial" w:hAnsi="Arial" w:cs="Arial"/>
                <w:sz w:val="20"/>
              </w:rPr>
            </w:pPr>
            <w:r>
              <w:rPr>
                <w:rFonts w:ascii="Arial" w:hAnsi="Arial" w:cs="Arial"/>
                <w:sz w:val="20"/>
              </w:rPr>
              <w:t xml:space="preserve">Final </w:t>
            </w:r>
            <w:r w:rsidR="00A023E0">
              <w:rPr>
                <w:rFonts w:ascii="Arial" w:hAnsi="Arial" w:cs="Arial"/>
                <w:sz w:val="20"/>
              </w:rPr>
              <w:t>Surveys Due</w:t>
            </w:r>
          </w:p>
          <w:p w14:paraId="66C35BAA" w14:textId="77777777" w:rsidR="00A023E0" w:rsidRDefault="00A023E0" w:rsidP="00A023E0">
            <w:pPr>
              <w:rPr>
                <w:rFonts w:ascii="Arial" w:hAnsi="Arial" w:cs="Arial"/>
                <w:sz w:val="20"/>
              </w:rPr>
            </w:pPr>
          </w:p>
          <w:p w14:paraId="4C5615C1" w14:textId="262AD02A" w:rsidR="00A8698F" w:rsidRDefault="00A8698F" w:rsidP="00A8698F">
            <w:pPr>
              <w:rPr>
                <w:rFonts w:ascii="Arial" w:hAnsi="Arial" w:cs="Arial"/>
                <w:sz w:val="20"/>
              </w:rPr>
            </w:pPr>
            <w:r>
              <w:rPr>
                <w:rFonts w:ascii="Arial" w:hAnsi="Arial" w:cs="Arial"/>
                <w:sz w:val="20"/>
              </w:rPr>
              <w:t>Emerging Issues in Survey Research</w:t>
            </w:r>
            <w:r w:rsidR="0030774C">
              <w:rPr>
                <w:rFonts w:ascii="Arial" w:hAnsi="Arial" w:cs="Arial"/>
                <w:sz w:val="20"/>
              </w:rPr>
              <w:t>: Robots, IRT, and More!</w:t>
            </w:r>
          </w:p>
          <w:p w14:paraId="5FD8C7AA" w14:textId="484CFB6B" w:rsidR="00A023E0" w:rsidRPr="009A7FCC" w:rsidRDefault="00A023E0" w:rsidP="00A023E0">
            <w:pPr>
              <w:rPr>
                <w:rFonts w:ascii="Arial" w:hAnsi="Arial" w:cs="Arial"/>
                <w:sz w:val="20"/>
              </w:rPr>
            </w:pP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1D32AED2" w14:textId="77777777" w:rsidR="00A8698F" w:rsidRPr="00A8698F" w:rsidRDefault="00A8698F" w:rsidP="00A8698F">
            <w:pPr>
              <w:pStyle w:val="ListParagraph"/>
              <w:numPr>
                <w:ilvl w:val="0"/>
                <w:numId w:val="17"/>
              </w:numPr>
              <w:spacing w:after="0" w:line="240" w:lineRule="auto"/>
              <w:ind w:left="360"/>
              <w:rPr>
                <w:rFonts w:ascii="Arial" w:hAnsi="Arial" w:cs="Arial"/>
                <w:sz w:val="20"/>
              </w:rPr>
            </w:pPr>
            <w:r>
              <w:rPr>
                <w:rFonts w:ascii="Arial" w:hAnsi="Arial" w:cs="Arial"/>
                <w:color w:val="222222"/>
                <w:sz w:val="20"/>
                <w:szCs w:val="20"/>
                <w:shd w:val="clear" w:color="auto" w:fill="FFFFFF"/>
              </w:rPr>
              <w:t>MTurk Robots – first paper published</w:t>
            </w:r>
          </w:p>
          <w:p w14:paraId="323D7F25" w14:textId="76496989" w:rsidR="0030774C" w:rsidRPr="005F3410" w:rsidRDefault="0030774C" w:rsidP="0030774C">
            <w:pPr>
              <w:pStyle w:val="ListParagraph"/>
              <w:numPr>
                <w:ilvl w:val="0"/>
                <w:numId w:val="17"/>
              </w:numPr>
              <w:spacing w:after="0" w:line="240" w:lineRule="auto"/>
              <w:ind w:left="360"/>
              <w:rPr>
                <w:rFonts w:ascii="Arial" w:eastAsia="Times New Roman" w:hAnsi="Arial" w:cs="Arial"/>
                <w:sz w:val="20"/>
                <w:szCs w:val="24"/>
              </w:rPr>
            </w:pPr>
            <w:r>
              <w:rPr>
                <w:rFonts w:ascii="Arial" w:eastAsia="Times New Roman" w:hAnsi="Arial" w:cs="Arial"/>
                <w:sz w:val="20"/>
                <w:szCs w:val="24"/>
              </w:rPr>
              <w:t>Streiner and Norman Chapter 12</w:t>
            </w:r>
          </w:p>
          <w:p w14:paraId="1A70A6B1" w14:textId="6F2C4785" w:rsidR="00CD6515" w:rsidRPr="009A7FCC" w:rsidRDefault="0030774C" w:rsidP="00A8698F">
            <w:pPr>
              <w:pStyle w:val="ListParagraph"/>
              <w:numPr>
                <w:ilvl w:val="0"/>
                <w:numId w:val="17"/>
              </w:numPr>
              <w:spacing w:after="0" w:line="240" w:lineRule="auto"/>
              <w:ind w:left="360"/>
              <w:rPr>
                <w:rFonts w:ascii="Arial" w:hAnsi="Arial" w:cs="Arial"/>
                <w:sz w:val="20"/>
              </w:rPr>
            </w:pPr>
            <w:r>
              <w:rPr>
                <w:rFonts w:ascii="Arial" w:hAnsi="Arial" w:cs="Arial"/>
                <w:sz w:val="20"/>
              </w:rPr>
              <w:t>TBD</w:t>
            </w:r>
          </w:p>
        </w:tc>
      </w:tr>
      <w:tr w:rsidR="00CD6515" w:rsidRPr="009A7FCC" w14:paraId="49E2423A" w14:textId="77777777" w:rsidTr="00C45DB7">
        <w:trPr>
          <w:trHeight w:val="89"/>
        </w:trPr>
        <w:tc>
          <w:tcPr>
            <w:tcW w:w="10203" w:type="dxa"/>
            <w:gridSpan w:val="5"/>
            <w:tcBorders>
              <w:top w:val="single" w:sz="4" w:space="0" w:color="auto"/>
            </w:tcBorders>
            <w:shd w:val="clear" w:color="auto" w:fill="auto"/>
          </w:tcPr>
          <w:p w14:paraId="6574B8CB" w14:textId="77777777" w:rsidR="00CD6515" w:rsidRPr="009A7FCC" w:rsidRDefault="00CD6515" w:rsidP="00CD6515">
            <w:pPr>
              <w:rPr>
                <w:rFonts w:ascii="Arial" w:hAnsi="Arial" w:cs="Arial"/>
                <w:sz w:val="10"/>
              </w:rPr>
            </w:pPr>
          </w:p>
        </w:tc>
      </w:tr>
      <w:tr w:rsidR="00CD6515" w:rsidRPr="009A7FCC" w14:paraId="6D9FCA2E" w14:textId="77777777" w:rsidTr="00C45DB7">
        <w:tc>
          <w:tcPr>
            <w:tcW w:w="10203" w:type="dxa"/>
            <w:gridSpan w:val="5"/>
            <w:shd w:val="clear" w:color="auto" w:fill="auto"/>
          </w:tcPr>
          <w:p w14:paraId="081375ED" w14:textId="77777777" w:rsidR="00CD6515" w:rsidRDefault="00CD6515" w:rsidP="00CD6515">
            <w:pPr>
              <w:rPr>
                <w:rFonts w:ascii="Arial" w:hAnsi="Arial" w:cs="Arial"/>
                <w:sz w:val="20"/>
              </w:rPr>
            </w:pPr>
          </w:p>
        </w:tc>
      </w:tr>
      <w:tr w:rsidR="00CD6515" w:rsidRPr="009A7FCC" w14:paraId="22D133AD" w14:textId="77777777" w:rsidTr="00C45DB7">
        <w:tc>
          <w:tcPr>
            <w:tcW w:w="10203" w:type="dxa"/>
            <w:gridSpan w:val="5"/>
            <w:tcBorders>
              <w:left w:val="single" w:sz="4" w:space="0" w:color="auto"/>
              <w:bottom w:val="single" w:sz="4" w:space="0" w:color="auto"/>
              <w:right w:val="single" w:sz="4" w:space="0" w:color="auto"/>
            </w:tcBorders>
            <w:shd w:val="clear" w:color="auto" w:fill="000000"/>
          </w:tcPr>
          <w:p w14:paraId="261C32AF" w14:textId="77777777" w:rsidR="00CD6515" w:rsidRPr="009A7FCC" w:rsidRDefault="00CD6515" w:rsidP="00CD6515">
            <w:pPr>
              <w:rPr>
                <w:rFonts w:ascii="Arial" w:hAnsi="Arial" w:cs="Arial"/>
                <w:b/>
                <w:sz w:val="20"/>
              </w:rPr>
            </w:pPr>
            <w:r w:rsidRPr="009A7FCC">
              <w:rPr>
                <w:rFonts w:ascii="Arial" w:hAnsi="Arial" w:cs="Arial"/>
                <w:b/>
                <w:sz w:val="20"/>
              </w:rPr>
              <w:t>Grading Policies</w:t>
            </w:r>
          </w:p>
        </w:tc>
      </w:tr>
      <w:tr w:rsidR="00CD6515" w:rsidRPr="009A7FCC" w14:paraId="0AC94151" w14:textId="77777777" w:rsidTr="00C45DB7">
        <w:trPr>
          <w:trHeight w:val="89"/>
        </w:trPr>
        <w:tc>
          <w:tcPr>
            <w:tcW w:w="10203" w:type="dxa"/>
            <w:gridSpan w:val="5"/>
            <w:tcBorders>
              <w:top w:val="single" w:sz="4" w:space="0" w:color="auto"/>
            </w:tcBorders>
            <w:shd w:val="clear" w:color="auto" w:fill="auto"/>
          </w:tcPr>
          <w:p w14:paraId="4EB82DFE" w14:textId="77777777" w:rsidR="00CD6515" w:rsidRPr="009A7FCC" w:rsidRDefault="00CD6515" w:rsidP="00CD6515">
            <w:pPr>
              <w:rPr>
                <w:rFonts w:ascii="Arial" w:hAnsi="Arial" w:cs="Arial"/>
                <w:sz w:val="10"/>
              </w:rPr>
            </w:pPr>
          </w:p>
        </w:tc>
      </w:tr>
      <w:tr w:rsidR="00CD6515" w:rsidRPr="009A7FCC" w14:paraId="316FBA45" w14:textId="77777777" w:rsidTr="00C45DB7">
        <w:tc>
          <w:tcPr>
            <w:tcW w:w="10203" w:type="dxa"/>
            <w:gridSpan w:val="5"/>
            <w:shd w:val="clear" w:color="auto" w:fill="auto"/>
          </w:tcPr>
          <w:p w14:paraId="47E7C3E9" w14:textId="77777777" w:rsidR="00CD6515" w:rsidRDefault="00CD6515" w:rsidP="00CD6515">
            <w:pPr>
              <w:autoSpaceDE w:val="0"/>
              <w:autoSpaceDN w:val="0"/>
              <w:adjustRightInd w:val="0"/>
              <w:rPr>
                <w:rFonts w:ascii="Arial" w:eastAsia="Cambria" w:hAnsi="Arial" w:cs="Arial"/>
                <w:i/>
                <w:iCs/>
                <w:sz w:val="20"/>
                <w:szCs w:val="20"/>
              </w:rPr>
            </w:pPr>
          </w:p>
          <w:p w14:paraId="2153A261" w14:textId="559AF885" w:rsidR="00CD6515" w:rsidRPr="0096675C" w:rsidRDefault="00CD6515" w:rsidP="00CD6515">
            <w:pPr>
              <w:autoSpaceDE w:val="0"/>
              <w:autoSpaceDN w:val="0"/>
              <w:adjustRightInd w:val="0"/>
              <w:rPr>
                <w:rFonts w:ascii="Arial" w:eastAsia="Cambria" w:hAnsi="Arial" w:cs="Arial"/>
                <w:i/>
                <w:iCs/>
                <w:sz w:val="20"/>
                <w:szCs w:val="20"/>
              </w:rPr>
            </w:pPr>
            <w:r>
              <w:rPr>
                <w:rFonts w:ascii="Arial" w:eastAsia="Cambria" w:hAnsi="Arial" w:cs="Arial"/>
                <w:i/>
                <w:iCs/>
                <w:sz w:val="20"/>
                <w:szCs w:val="20"/>
              </w:rPr>
              <w:fldChar w:fldCharType="begin">
                <w:ffData>
                  <w:name w:val="Check3"/>
                  <w:enabled/>
                  <w:calcOnExit w:val="0"/>
                  <w:checkBox>
                    <w:sizeAuto/>
                    <w:default w:val="1"/>
                  </w:checkBox>
                </w:ffData>
              </w:fldChar>
            </w:r>
            <w:r>
              <w:rPr>
                <w:rFonts w:ascii="Arial" w:eastAsia="Cambria" w:hAnsi="Arial" w:cs="Arial"/>
                <w:i/>
                <w:iCs/>
                <w:sz w:val="20"/>
                <w:szCs w:val="20"/>
              </w:rPr>
              <w:instrText xml:space="preserve"> FORMCHECKBOX </w:instrText>
            </w:r>
            <w:r w:rsidR="000B5EFE">
              <w:rPr>
                <w:rFonts w:ascii="Arial" w:eastAsia="Cambria" w:hAnsi="Arial" w:cs="Arial"/>
                <w:i/>
                <w:iCs/>
                <w:sz w:val="20"/>
                <w:szCs w:val="20"/>
              </w:rPr>
            </w:r>
            <w:r w:rsidR="000B5EFE">
              <w:rPr>
                <w:rFonts w:ascii="Arial" w:eastAsia="Cambria" w:hAnsi="Arial" w:cs="Arial"/>
                <w:i/>
                <w:iCs/>
                <w:sz w:val="20"/>
                <w:szCs w:val="20"/>
              </w:rPr>
              <w:fldChar w:fldCharType="separate"/>
            </w:r>
            <w:r>
              <w:rPr>
                <w:rFonts w:ascii="Arial" w:eastAsia="Cambria" w:hAnsi="Arial" w:cs="Arial"/>
                <w:i/>
                <w:iCs/>
                <w:sz w:val="20"/>
                <w:szCs w:val="20"/>
              </w:rPr>
              <w:fldChar w:fldCharType="end"/>
            </w:r>
            <w:r>
              <w:rPr>
                <w:rFonts w:ascii="Arial" w:eastAsia="Cambria" w:hAnsi="Arial" w:cs="Arial"/>
                <w:i/>
                <w:iCs/>
                <w:sz w:val="20"/>
                <w:szCs w:val="20"/>
              </w:rPr>
              <w:t xml:space="preserve"> </w:t>
            </w:r>
            <w:r w:rsidRPr="0096675C">
              <w:rPr>
                <w:rFonts w:ascii="Arial" w:eastAsia="Cambria" w:hAnsi="Arial" w:cs="Arial"/>
                <w:i/>
                <w:iCs/>
                <w:sz w:val="20"/>
                <w:szCs w:val="20"/>
              </w:rPr>
              <w:t>Grading Scale</w:t>
            </w:r>
            <w:r w:rsidR="00F4729E">
              <w:rPr>
                <w:rFonts w:ascii="Arial" w:eastAsia="Cambria" w:hAnsi="Arial" w:cs="Arial"/>
                <w:i/>
                <w:iCs/>
                <w:sz w:val="20"/>
                <w:szCs w:val="20"/>
              </w:rPr>
              <w:t xml:space="preserve"> (This is a Percentage Scale)</w:t>
            </w:r>
          </w:p>
          <w:p w14:paraId="208929D3" w14:textId="77777777" w:rsidR="00CD6515" w:rsidRPr="0096675C" w:rsidRDefault="00CD6515" w:rsidP="00CD6515">
            <w:pPr>
              <w:autoSpaceDE w:val="0"/>
              <w:autoSpaceDN w:val="0"/>
              <w:adjustRightInd w:val="0"/>
              <w:rPr>
                <w:rFonts w:ascii="Arial" w:eastAsia="Cambria" w:hAnsi="Arial" w:cs="Arial"/>
                <w:sz w:val="20"/>
                <w:szCs w:val="20"/>
              </w:rPr>
            </w:pPr>
            <w:r>
              <w:rPr>
                <w:rFonts w:ascii="Arial" w:eastAsia="Cambria" w:hAnsi="Arial" w:cs="Arial"/>
                <w:sz w:val="20"/>
                <w:szCs w:val="20"/>
              </w:rPr>
              <w:t xml:space="preserve">           90-100 </w:t>
            </w:r>
            <w:r w:rsidRPr="0096675C">
              <w:rPr>
                <w:rFonts w:ascii="Arial" w:eastAsia="Cambria" w:hAnsi="Arial" w:cs="Arial"/>
                <w:sz w:val="20"/>
                <w:szCs w:val="20"/>
              </w:rPr>
              <w:tab/>
              <w:t>A</w:t>
            </w:r>
          </w:p>
          <w:p w14:paraId="49163B2D" w14:textId="77777777" w:rsidR="00CD6515" w:rsidRPr="0096675C" w:rsidRDefault="00CD6515" w:rsidP="00CD6515">
            <w:pPr>
              <w:autoSpaceDE w:val="0"/>
              <w:autoSpaceDN w:val="0"/>
              <w:adjustRightInd w:val="0"/>
              <w:rPr>
                <w:rFonts w:ascii="Arial" w:eastAsia="Cambria" w:hAnsi="Arial" w:cs="Arial"/>
                <w:sz w:val="20"/>
                <w:szCs w:val="20"/>
              </w:rPr>
            </w:pPr>
            <w:r>
              <w:rPr>
                <w:rFonts w:ascii="Arial" w:eastAsia="Cambria" w:hAnsi="Arial" w:cs="Arial"/>
                <w:sz w:val="20"/>
                <w:szCs w:val="20"/>
              </w:rPr>
              <w:t xml:space="preserve">           80-89   </w:t>
            </w:r>
            <w:r>
              <w:rPr>
                <w:rFonts w:ascii="Arial" w:eastAsia="Cambria" w:hAnsi="Arial" w:cs="Arial"/>
                <w:sz w:val="20"/>
                <w:szCs w:val="20"/>
              </w:rPr>
              <w:tab/>
              <w:t>B</w:t>
            </w:r>
          </w:p>
          <w:p w14:paraId="74E8F7AC" w14:textId="77777777" w:rsidR="00CD6515" w:rsidRPr="0096675C" w:rsidRDefault="00CD6515" w:rsidP="00CD6515">
            <w:pPr>
              <w:autoSpaceDE w:val="0"/>
              <w:autoSpaceDN w:val="0"/>
              <w:adjustRightInd w:val="0"/>
              <w:rPr>
                <w:rFonts w:ascii="Arial" w:eastAsia="Cambria" w:hAnsi="Arial" w:cs="Arial"/>
                <w:sz w:val="20"/>
                <w:szCs w:val="20"/>
              </w:rPr>
            </w:pPr>
            <w:r>
              <w:rPr>
                <w:rFonts w:ascii="Arial" w:eastAsia="Cambria" w:hAnsi="Arial" w:cs="Arial"/>
                <w:sz w:val="20"/>
                <w:szCs w:val="20"/>
              </w:rPr>
              <w:t xml:space="preserve">           70-79   </w:t>
            </w:r>
            <w:r w:rsidRPr="0096675C">
              <w:rPr>
                <w:rFonts w:ascii="Arial" w:eastAsia="Cambria" w:hAnsi="Arial" w:cs="Arial"/>
                <w:sz w:val="20"/>
                <w:szCs w:val="20"/>
              </w:rPr>
              <w:tab/>
              <w:t>C</w:t>
            </w:r>
          </w:p>
          <w:p w14:paraId="287288E2" w14:textId="77777777" w:rsidR="00CD6515" w:rsidRPr="0096675C" w:rsidRDefault="00CD6515" w:rsidP="00CD6515">
            <w:pPr>
              <w:autoSpaceDE w:val="0"/>
              <w:autoSpaceDN w:val="0"/>
              <w:adjustRightInd w:val="0"/>
              <w:rPr>
                <w:rFonts w:ascii="Arial" w:eastAsia="Cambria" w:hAnsi="Arial" w:cs="Arial"/>
                <w:sz w:val="20"/>
                <w:szCs w:val="20"/>
              </w:rPr>
            </w:pPr>
            <w:r>
              <w:rPr>
                <w:rFonts w:ascii="Arial" w:eastAsia="Cambria" w:hAnsi="Arial" w:cs="Arial"/>
                <w:sz w:val="20"/>
                <w:szCs w:val="20"/>
              </w:rPr>
              <w:t xml:space="preserve">           60-69    </w:t>
            </w:r>
            <w:r w:rsidRPr="0096675C">
              <w:rPr>
                <w:rFonts w:ascii="Arial" w:eastAsia="Cambria" w:hAnsi="Arial" w:cs="Arial"/>
                <w:sz w:val="20"/>
                <w:szCs w:val="20"/>
              </w:rPr>
              <w:tab/>
              <w:t>D</w:t>
            </w:r>
          </w:p>
          <w:p w14:paraId="4CFA0245" w14:textId="77777777" w:rsidR="00CD6515" w:rsidRDefault="00CD6515" w:rsidP="00CD6515">
            <w:pPr>
              <w:rPr>
                <w:rFonts w:ascii="Arial" w:hAnsi="Arial" w:cs="Arial"/>
                <w:sz w:val="20"/>
                <w:szCs w:val="20"/>
              </w:rPr>
            </w:pPr>
            <w:r w:rsidRPr="0096675C">
              <w:rPr>
                <w:rFonts w:ascii="Arial" w:eastAsia="Cambria" w:hAnsi="Arial" w:cs="Arial"/>
                <w:sz w:val="20"/>
                <w:szCs w:val="20"/>
              </w:rPr>
              <w:fldChar w:fldCharType="begin">
                <w:ffData>
                  <w:name w:val="Text59"/>
                  <w:enabled/>
                  <w:calcOnExit w:val="0"/>
                  <w:textInput/>
                </w:ffData>
              </w:fldChar>
            </w:r>
            <w:r w:rsidRPr="0096675C">
              <w:rPr>
                <w:rFonts w:ascii="Arial" w:eastAsia="Cambria" w:hAnsi="Arial" w:cs="Arial"/>
                <w:sz w:val="20"/>
                <w:szCs w:val="20"/>
              </w:rPr>
              <w:instrText xml:space="preserve"> FORMTEXT </w:instrText>
            </w:r>
            <w:r w:rsidRPr="0096675C">
              <w:rPr>
                <w:rFonts w:ascii="Arial" w:eastAsia="Cambria" w:hAnsi="Arial" w:cs="Arial"/>
                <w:sz w:val="20"/>
                <w:szCs w:val="20"/>
              </w:rPr>
            </w:r>
            <w:r w:rsidRPr="0096675C">
              <w:rPr>
                <w:rFonts w:ascii="Arial" w:eastAsia="Cambria" w:hAnsi="Arial" w:cs="Arial"/>
                <w:sz w:val="20"/>
                <w:szCs w:val="20"/>
              </w:rPr>
              <w:fldChar w:fldCharType="separate"/>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noProof/>
                <w:sz w:val="20"/>
                <w:szCs w:val="20"/>
              </w:rPr>
              <w:t> </w:t>
            </w:r>
            <w:r w:rsidRPr="0096675C">
              <w:rPr>
                <w:rFonts w:ascii="Arial" w:eastAsia="Cambria" w:hAnsi="Arial" w:cs="Arial"/>
                <w:sz w:val="20"/>
                <w:szCs w:val="20"/>
              </w:rPr>
              <w:fldChar w:fldCharType="end"/>
            </w:r>
            <w:r w:rsidRPr="0096675C">
              <w:rPr>
                <w:rFonts w:ascii="Arial" w:eastAsia="Cambria" w:hAnsi="Arial" w:cs="Arial"/>
                <w:sz w:val="20"/>
                <w:szCs w:val="20"/>
              </w:rPr>
              <w:t xml:space="preserve"> </w:t>
            </w:r>
            <w:r w:rsidRPr="0096675C">
              <w:rPr>
                <w:rFonts w:ascii="Arial" w:eastAsia="Cambria" w:hAnsi="Arial" w:cs="Arial"/>
                <w:sz w:val="20"/>
                <w:szCs w:val="20"/>
              </w:rPr>
              <w:tab/>
            </w:r>
            <w:r>
              <w:rPr>
                <w:rFonts w:ascii="Arial" w:hAnsi="Arial" w:cs="Arial"/>
                <w:color w:val="222222"/>
                <w:shd w:val="clear" w:color="auto" w:fill="FFFFFF"/>
              </w:rPr>
              <w:t>≤</w:t>
            </w:r>
            <w:r>
              <w:rPr>
                <w:rFonts w:ascii="Arial" w:eastAsia="Cambria" w:hAnsi="Arial" w:cs="Arial"/>
                <w:sz w:val="20"/>
                <w:szCs w:val="20"/>
              </w:rPr>
              <w:t xml:space="preserve">-59     </w:t>
            </w:r>
            <w:r w:rsidRPr="0096675C">
              <w:rPr>
                <w:rFonts w:ascii="Arial" w:eastAsia="Cambria" w:hAnsi="Arial" w:cs="Arial"/>
                <w:sz w:val="20"/>
                <w:szCs w:val="20"/>
              </w:rPr>
              <w:tab/>
              <w:t>F</w:t>
            </w:r>
            <w:r w:rsidRPr="0096675C">
              <w:rPr>
                <w:rFonts w:ascii="Arial" w:hAnsi="Arial" w:cs="Arial"/>
                <w:sz w:val="20"/>
                <w:szCs w:val="20"/>
              </w:rPr>
              <w:t xml:space="preserve"> </w:t>
            </w:r>
          </w:p>
          <w:p w14:paraId="65DB844F" w14:textId="0B4DF22C" w:rsidR="0066463F" w:rsidRPr="009A7FCC" w:rsidRDefault="0066463F" w:rsidP="00CD6515">
            <w:pPr>
              <w:rPr>
                <w:rFonts w:ascii="Arial" w:hAnsi="Arial" w:cs="Arial"/>
                <w:sz w:val="20"/>
                <w:szCs w:val="20"/>
              </w:rPr>
            </w:pPr>
          </w:p>
        </w:tc>
      </w:tr>
      <w:tr w:rsidR="00CD6515" w:rsidRPr="0096675C" w14:paraId="09F04012" w14:textId="77777777" w:rsidTr="00C45DB7">
        <w:trPr>
          <w:trHeight w:val="1773"/>
        </w:trPr>
        <w:tc>
          <w:tcPr>
            <w:tcW w:w="10203"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951"/>
            </w:tblGrid>
            <w:tr w:rsidR="0066463F" w:rsidRPr="00581ECB" w14:paraId="38FF042B" w14:textId="77777777" w:rsidTr="0044236F">
              <w:trPr>
                <w:trHeight w:val="276"/>
              </w:trPr>
              <w:tc>
                <w:tcPr>
                  <w:tcW w:w="2425" w:type="dxa"/>
                  <w:shd w:val="clear" w:color="auto" w:fill="auto"/>
                </w:tcPr>
                <w:p w14:paraId="64AFC164" w14:textId="77777777" w:rsidR="0066463F" w:rsidRPr="0090194D" w:rsidRDefault="0066463F" w:rsidP="00CD6515">
                  <w:pPr>
                    <w:autoSpaceDE w:val="0"/>
                    <w:autoSpaceDN w:val="0"/>
                    <w:adjustRightInd w:val="0"/>
                    <w:jc w:val="center"/>
                    <w:rPr>
                      <w:rFonts w:ascii="Arial" w:eastAsia="Cambria" w:hAnsi="Arial" w:cs="Arial"/>
                      <w:b/>
                      <w:sz w:val="20"/>
                      <w:szCs w:val="20"/>
                    </w:rPr>
                  </w:pPr>
                  <w:r w:rsidRPr="0090194D">
                    <w:rPr>
                      <w:rFonts w:ascii="Arial" w:eastAsia="Cambria" w:hAnsi="Arial" w:cs="Arial"/>
                      <w:b/>
                      <w:sz w:val="20"/>
                      <w:szCs w:val="20"/>
                    </w:rPr>
                    <w:t>Assignment</w:t>
                  </w:r>
                </w:p>
              </w:tc>
              <w:tc>
                <w:tcPr>
                  <w:tcW w:w="1951" w:type="dxa"/>
                  <w:shd w:val="clear" w:color="auto" w:fill="auto"/>
                </w:tcPr>
                <w:p w14:paraId="459B1303" w14:textId="241D4B1C" w:rsidR="0066463F" w:rsidRPr="0090194D" w:rsidRDefault="0066463F" w:rsidP="00CD6515">
                  <w:pPr>
                    <w:autoSpaceDE w:val="0"/>
                    <w:autoSpaceDN w:val="0"/>
                    <w:adjustRightInd w:val="0"/>
                    <w:jc w:val="center"/>
                    <w:rPr>
                      <w:rFonts w:ascii="Arial" w:eastAsia="Cambria" w:hAnsi="Arial" w:cs="Arial"/>
                      <w:b/>
                      <w:sz w:val="20"/>
                      <w:szCs w:val="20"/>
                    </w:rPr>
                  </w:pPr>
                  <w:r>
                    <w:rPr>
                      <w:rFonts w:ascii="Arial" w:eastAsia="Cambria" w:hAnsi="Arial" w:cs="Arial"/>
                      <w:b/>
                      <w:sz w:val="20"/>
                      <w:szCs w:val="20"/>
                    </w:rPr>
                    <w:t>Percent of Grade</w:t>
                  </w:r>
                </w:p>
              </w:tc>
            </w:tr>
            <w:tr w:rsidR="0066463F" w:rsidRPr="00581ECB" w14:paraId="4C51B917" w14:textId="77777777" w:rsidTr="0044236F">
              <w:trPr>
                <w:trHeight w:val="276"/>
              </w:trPr>
              <w:tc>
                <w:tcPr>
                  <w:tcW w:w="2425" w:type="dxa"/>
                  <w:shd w:val="clear" w:color="auto" w:fill="auto"/>
                </w:tcPr>
                <w:p w14:paraId="2A4FB99E" w14:textId="11F30500" w:rsidR="0066463F" w:rsidRPr="00581ECB" w:rsidRDefault="0066463F" w:rsidP="00CD6515">
                  <w:pPr>
                    <w:autoSpaceDE w:val="0"/>
                    <w:autoSpaceDN w:val="0"/>
                    <w:adjustRightInd w:val="0"/>
                    <w:rPr>
                      <w:rFonts w:ascii="Arial" w:eastAsia="Cambria" w:hAnsi="Arial" w:cs="Arial"/>
                      <w:sz w:val="20"/>
                      <w:szCs w:val="20"/>
                    </w:rPr>
                  </w:pPr>
                  <w:r>
                    <w:rPr>
                      <w:rFonts w:ascii="Arial" w:eastAsia="Cambria" w:hAnsi="Arial" w:cs="Arial"/>
                      <w:sz w:val="20"/>
                      <w:szCs w:val="20"/>
                    </w:rPr>
                    <w:t>Class Participation</w:t>
                  </w:r>
                </w:p>
              </w:tc>
              <w:tc>
                <w:tcPr>
                  <w:tcW w:w="1951" w:type="dxa"/>
                  <w:shd w:val="clear" w:color="auto" w:fill="auto"/>
                </w:tcPr>
                <w:p w14:paraId="4F90ADA0" w14:textId="7FCBBBBE" w:rsidR="0066463F" w:rsidRPr="00581ECB" w:rsidRDefault="0066463F" w:rsidP="0066463F">
                  <w:pPr>
                    <w:autoSpaceDE w:val="0"/>
                    <w:autoSpaceDN w:val="0"/>
                    <w:adjustRightInd w:val="0"/>
                    <w:rPr>
                      <w:rFonts w:ascii="Arial" w:eastAsia="Cambria" w:hAnsi="Arial" w:cs="Arial"/>
                      <w:sz w:val="20"/>
                      <w:szCs w:val="20"/>
                    </w:rPr>
                  </w:pPr>
                  <w:r>
                    <w:rPr>
                      <w:rFonts w:ascii="Arial" w:eastAsia="Cambria" w:hAnsi="Arial" w:cs="Arial"/>
                      <w:sz w:val="20"/>
                      <w:szCs w:val="20"/>
                    </w:rPr>
                    <w:t>10%</w:t>
                  </w:r>
                </w:p>
              </w:tc>
            </w:tr>
            <w:tr w:rsidR="0066463F" w:rsidRPr="00581ECB" w14:paraId="124E1ACD" w14:textId="77777777" w:rsidTr="0044236F">
              <w:trPr>
                <w:trHeight w:val="276"/>
              </w:trPr>
              <w:tc>
                <w:tcPr>
                  <w:tcW w:w="2425" w:type="dxa"/>
                  <w:shd w:val="clear" w:color="auto" w:fill="auto"/>
                </w:tcPr>
                <w:p w14:paraId="2B443C13" w14:textId="330C8948" w:rsidR="0066463F" w:rsidRPr="00581ECB" w:rsidRDefault="0066463F" w:rsidP="0066463F">
                  <w:pPr>
                    <w:autoSpaceDE w:val="0"/>
                    <w:autoSpaceDN w:val="0"/>
                    <w:adjustRightInd w:val="0"/>
                    <w:rPr>
                      <w:rFonts w:ascii="Arial" w:eastAsia="Cambria" w:hAnsi="Arial" w:cs="Arial"/>
                      <w:sz w:val="20"/>
                      <w:szCs w:val="20"/>
                    </w:rPr>
                  </w:pPr>
                  <w:r>
                    <w:rPr>
                      <w:rFonts w:ascii="Arial" w:eastAsia="Cambria" w:hAnsi="Arial" w:cs="Arial"/>
                      <w:sz w:val="20"/>
                      <w:szCs w:val="20"/>
                    </w:rPr>
                    <w:t>Article Presentation</w:t>
                  </w:r>
                </w:p>
              </w:tc>
              <w:tc>
                <w:tcPr>
                  <w:tcW w:w="1951" w:type="dxa"/>
                  <w:shd w:val="clear" w:color="auto" w:fill="auto"/>
                </w:tcPr>
                <w:p w14:paraId="73C17A2B" w14:textId="19185C08" w:rsidR="0066463F" w:rsidRPr="00581ECB" w:rsidRDefault="0066463F" w:rsidP="00CD6515">
                  <w:pPr>
                    <w:autoSpaceDE w:val="0"/>
                    <w:autoSpaceDN w:val="0"/>
                    <w:adjustRightInd w:val="0"/>
                    <w:rPr>
                      <w:rFonts w:ascii="Arial" w:eastAsia="Cambria" w:hAnsi="Arial" w:cs="Arial"/>
                      <w:sz w:val="20"/>
                      <w:szCs w:val="20"/>
                    </w:rPr>
                  </w:pPr>
                  <w:r>
                    <w:rPr>
                      <w:rFonts w:ascii="Arial" w:eastAsia="Cambria" w:hAnsi="Arial" w:cs="Arial"/>
                      <w:sz w:val="20"/>
                      <w:szCs w:val="20"/>
                    </w:rPr>
                    <w:t>10%</w:t>
                  </w:r>
                </w:p>
              </w:tc>
            </w:tr>
            <w:tr w:rsidR="0066463F" w:rsidRPr="00581ECB" w14:paraId="2417D6C0" w14:textId="77777777" w:rsidTr="0044236F">
              <w:trPr>
                <w:trHeight w:val="276"/>
              </w:trPr>
              <w:tc>
                <w:tcPr>
                  <w:tcW w:w="2425" w:type="dxa"/>
                  <w:shd w:val="clear" w:color="auto" w:fill="auto"/>
                </w:tcPr>
                <w:p w14:paraId="5966E8D0" w14:textId="676D0B59" w:rsidR="0066463F" w:rsidRPr="00581ECB" w:rsidRDefault="0066463F" w:rsidP="0066463F">
                  <w:pPr>
                    <w:tabs>
                      <w:tab w:val="right" w:pos="1972"/>
                    </w:tabs>
                    <w:autoSpaceDE w:val="0"/>
                    <w:autoSpaceDN w:val="0"/>
                    <w:adjustRightInd w:val="0"/>
                    <w:rPr>
                      <w:rFonts w:ascii="Arial" w:eastAsia="Cambria" w:hAnsi="Arial" w:cs="Arial"/>
                      <w:sz w:val="20"/>
                      <w:szCs w:val="20"/>
                    </w:rPr>
                  </w:pPr>
                  <w:r>
                    <w:rPr>
                      <w:rFonts w:ascii="Arial" w:eastAsia="Cambria" w:hAnsi="Arial" w:cs="Arial"/>
                      <w:sz w:val="20"/>
                      <w:szCs w:val="20"/>
                    </w:rPr>
                    <w:t>Survey Critique</w:t>
                  </w:r>
                </w:p>
              </w:tc>
              <w:tc>
                <w:tcPr>
                  <w:tcW w:w="1951" w:type="dxa"/>
                  <w:shd w:val="clear" w:color="auto" w:fill="auto"/>
                </w:tcPr>
                <w:p w14:paraId="5BFE5232" w14:textId="2F8ACDBA" w:rsidR="0066463F" w:rsidRPr="00581ECB" w:rsidRDefault="0066463F" w:rsidP="00CD6515">
                  <w:pPr>
                    <w:autoSpaceDE w:val="0"/>
                    <w:autoSpaceDN w:val="0"/>
                    <w:adjustRightInd w:val="0"/>
                    <w:rPr>
                      <w:rFonts w:ascii="Arial" w:eastAsia="Cambria" w:hAnsi="Arial" w:cs="Arial"/>
                      <w:sz w:val="20"/>
                      <w:szCs w:val="20"/>
                    </w:rPr>
                  </w:pPr>
                  <w:r>
                    <w:rPr>
                      <w:rFonts w:ascii="Arial" w:eastAsia="Cambria" w:hAnsi="Arial" w:cs="Arial"/>
                      <w:sz w:val="20"/>
                      <w:szCs w:val="20"/>
                    </w:rPr>
                    <w:t>30%</w:t>
                  </w:r>
                </w:p>
              </w:tc>
            </w:tr>
            <w:tr w:rsidR="0066463F" w:rsidRPr="00581ECB" w14:paraId="563F5130" w14:textId="77777777" w:rsidTr="0044236F">
              <w:trPr>
                <w:trHeight w:val="276"/>
              </w:trPr>
              <w:tc>
                <w:tcPr>
                  <w:tcW w:w="2425" w:type="dxa"/>
                  <w:shd w:val="clear" w:color="auto" w:fill="auto"/>
                </w:tcPr>
                <w:p w14:paraId="41964397" w14:textId="060BFA62" w:rsidR="0066463F" w:rsidRPr="00581ECB" w:rsidRDefault="0066463F" w:rsidP="00CD6515">
                  <w:pPr>
                    <w:autoSpaceDE w:val="0"/>
                    <w:autoSpaceDN w:val="0"/>
                    <w:adjustRightInd w:val="0"/>
                    <w:rPr>
                      <w:rFonts w:ascii="Arial" w:eastAsia="Cambria" w:hAnsi="Arial" w:cs="Arial"/>
                      <w:sz w:val="20"/>
                      <w:szCs w:val="20"/>
                    </w:rPr>
                  </w:pPr>
                  <w:r>
                    <w:rPr>
                      <w:rFonts w:ascii="Arial" w:eastAsia="Cambria" w:hAnsi="Arial" w:cs="Arial"/>
                      <w:sz w:val="20"/>
                      <w:szCs w:val="20"/>
                    </w:rPr>
                    <w:t>Public Health Survey</w:t>
                  </w:r>
                </w:p>
              </w:tc>
              <w:tc>
                <w:tcPr>
                  <w:tcW w:w="1951" w:type="dxa"/>
                  <w:shd w:val="clear" w:color="auto" w:fill="auto"/>
                </w:tcPr>
                <w:p w14:paraId="3CABC867" w14:textId="7B031A21" w:rsidR="0066463F" w:rsidRPr="00581ECB" w:rsidRDefault="0066463F" w:rsidP="00CD6515">
                  <w:pPr>
                    <w:autoSpaceDE w:val="0"/>
                    <w:autoSpaceDN w:val="0"/>
                    <w:adjustRightInd w:val="0"/>
                    <w:rPr>
                      <w:rFonts w:ascii="Arial" w:eastAsia="Cambria" w:hAnsi="Arial" w:cs="Arial"/>
                      <w:sz w:val="20"/>
                      <w:szCs w:val="20"/>
                    </w:rPr>
                  </w:pPr>
                  <w:r>
                    <w:rPr>
                      <w:rFonts w:ascii="Arial" w:eastAsia="Cambria" w:hAnsi="Arial" w:cs="Arial"/>
                      <w:sz w:val="20"/>
                      <w:szCs w:val="20"/>
                    </w:rPr>
                    <w:t>50%</w:t>
                  </w:r>
                </w:p>
              </w:tc>
            </w:tr>
          </w:tbl>
          <w:p w14:paraId="42F69CF5" w14:textId="77777777" w:rsidR="00CD6515" w:rsidRPr="0096675C" w:rsidRDefault="00CD6515" w:rsidP="00CD6515">
            <w:pPr>
              <w:rPr>
                <w:rFonts w:ascii="Arial" w:hAnsi="Arial" w:cs="Arial"/>
                <w:sz w:val="20"/>
                <w:szCs w:val="20"/>
              </w:rPr>
            </w:pPr>
          </w:p>
        </w:tc>
      </w:tr>
      <w:tr w:rsidR="00CD6515" w:rsidRPr="009A7FCC" w14:paraId="04169CD7" w14:textId="77777777" w:rsidTr="00C45DB7">
        <w:tc>
          <w:tcPr>
            <w:tcW w:w="10203" w:type="dxa"/>
            <w:gridSpan w:val="5"/>
            <w:tcBorders>
              <w:bottom w:val="single" w:sz="4" w:space="0" w:color="auto"/>
            </w:tcBorders>
            <w:shd w:val="clear" w:color="auto" w:fill="auto"/>
          </w:tcPr>
          <w:p w14:paraId="79ADC0D5" w14:textId="77777777" w:rsidR="00CD6515" w:rsidRDefault="00CD6515" w:rsidP="00CD6515">
            <w:pPr>
              <w:rPr>
                <w:rFonts w:ascii="Arial" w:hAnsi="Arial" w:cs="Arial"/>
                <w:sz w:val="20"/>
              </w:rPr>
            </w:pPr>
          </w:p>
          <w:p w14:paraId="012BB049" w14:textId="77777777" w:rsidR="00CD6515" w:rsidRPr="009A7FCC" w:rsidRDefault="00CD6515" w:rsidP="00CD6515">
            <w:pPr>
              <w:rPr>
                <w:rFonts w:ascii="Arial" w:hAnsi="Arial" w:cs="Arial"/>
                <w:sz w:val="20"/>
              </w:rPr>
            </w:pPr>
          </w:p>
        </w:tc>
      </w:tr>
      <w:tr w:rsidR="00CD6515" w:rsidRPr="0035572C" w14:paraId="7187DDAE" w14:textId="77777777" w:rsidTr="00C45DB7">
        <w:tc>
          <w:tcPr>
            <w:tcW w:w="10203" w:type="dxa"/>
            <w:gridSpan w:val="5"/>
            <w:tcBorders>
              <w:top w:val="single" w:sz="4" w:space="0" w:color="auto"/>
              <w:left w:val="single" w:sz="4" w:space="0" w:color="auto"/>
              <w:right w:val="single" w:sz="4" w:space="0" w:color="auto"/>
            </w:tcBorders>
            <w:shd w:val="clear" w:color="auto" w:fill="000000"/>
          </w:tcPr>
          <w:p w14:paraId="728BA00C" w14:textId="77777777" w:rsidR="00CD6515" w:rsidRPr="0035572C" w:rsidRDefault="00CD6515" w:rsidP="00CD6515">
            <w:pPr>
              <w:rPr>
                <w:rFonts w:ascii="Arial" w:hAnsi="Arial" w:cs="Arial"/>
                <w:b/>
                <w:sz w:val="20"/>
              </w:rPr>
            </w:pPr>
            <w:r w:rsidRPr="0035572C">
              <w:rPr>
                <w:rFonts w:ascii="Arial" w:hAnsi="Arial" w:cs="Arial"/>
                <w:b/>
                <w:sz w:val="20"/>
              </w:rPr>
              <w:t>Attendance and Make-up Policies</w:t>
            </w:r>
          </w:p>
        </w:tc>
      </w:tr>
      <w:tr w:rsidR="00CD6515" w:rsidRPr="009A7FCC" w14:paraId="27F9DC15" w14:textId="77777777" w:rsidTr="00C45DB7">
        <w:tc>
          <w:tcPr>
            <w:tcW w:w="10203" w:type="dxa"/>
            <w:gridSpan w:val="5"/>
            <w:shd w:val="clear" w:color="auto" w:fill="auto"/>
          </w:tcPr>
          <w:p w14:paraId="04505DC4" w14:textId="77777777" w:rsidR="00CD6515" w:rsidRDefault="00CD6515" w:rsidP="00CD6515">
            <w:pPr>
              <w:rPr>
                <w:rFonts w:ascii="Arial" w:hAnsi="Arial" w:cs="Arial"/>
                <w:sz w:val="20"/>
              </w:rPr>
            </w:pPr>
          </w:p>
          <w:p w14:paraId="1A29DDEE" w14:textId="77777777" w:rsidR="00CD6515" w:rsidRDefault="00CD6515" w:rsidP="00CD6515">
            <w:pPr>
              <w:rPr>
                <w:rFonts w:ascii="Arial" w:eastAsia="Cambria" w:hAnsi="Arial" w:cs="Arial"/>
                <w:sz w:val="20"/>
                <w:szCs w:val="20"/>
              </w:rPr>
            </w:pPr>
            <w:r w:rsidRPr="001A3CDB">
              <w:rPr>
                <w:rFonts w:ascii="Arial" w:eastAsia="Cambria" w:hAnsi="Arial" w:cs="Arial"/>
                <w:sz w:val="20"/>
                <w:szCs w:val="20"/>
              </w:rPr>
              <w:t xml:space="preserve">The University views class attendance as the responsibility of an individual student.  Attendance is essential to complete the course successfully.  University rules related to excused and unexcused absences are located on-line at </w:t>
            </w:r>
            <w:hyperlink r:id="rId10" w:history="1">
              <w:r w:rsidRPr="001A3CDB">
                <w:rPr>
                  <w:rStyle w:val="Hyperlink"/>
                  <w:rFonts w:ascii="Arial" w:eastAsia="Cambria" w:hAnsi="Arial" w:cs="Arial"/>
                  <w:sz w:val="20"/>
                  <w:szCs w:val="20"/>
                </w:rPr>
                <w:t>http://student-rules.tamu.edu/rule07</w:t>
              </w:r>
            </w:hyperlink>
            <w:r w:rsidRPr="001A3CDB">
              <w:rPr>
                <w:rFonts w:ascii="Arial" w:eastAsia="Cambria" w:hAnsi="Arial" w:cs="Arial"/>
                <w:sz w:val="20"/>
                <w:szCs w:val="20"/>
              </w:rPr>
              <w:t>.</w:t>
            </w:r>
          </w:p>
          <w:p w14:paraId="5333B001" w14:textId="77777777" w:rsidR="00CD6515" w:rsidRDefault="00CD6515" w:rsidP="00CD6515">
            <w:pPr>
              <w:rPr>
                <w:rFonts w:ascii="Arial" w:eastAsia="Cambria" w:hAnsi="Arial" w:cs="Arial"/>
                <w:sz w:val="20"/>
                <w:szCs w:val="20"/>
              </w:rPr>
            </w:pPr>
          </w:p>
          <w:p w14:paraId="00F3E737" w14:textId="48503802" w:rsidR="00CD6515" w:rsidRPr="00303D96" w:rsidRDefault="00CD6515" w:rsidP="001C3C8D">
            <w:pPr>
              <w:rPr>
                <w:rFonts w:ascii="Arial" w:hAnsi="Arial" w:cs="Arial"/>
                <w:sz w:val="20"/>
                <w:szCs w:val="20"/>
              </w:rPr>
            </w:pPr>
            <w:r>
              <w:rPr>
                <w:rFonts w:ascii="Arial" w:hAnsi="Arial" w:cs="Arial"/>
                <w:noProof/>
                <w:sz w:val="20"/>
              </w:rPr>
              <w:t xml:space="preserve">Attendance will not be formally kept and students will not be graded for their attendance in this class. That said, weekly reaction papers are due even if a student is absent from class and must be posted to eCampus by the due date. If a student needs to miss any other assignment due to an excused absence, they must notify the instructor prior to the absence or as soon as possible after the absence and the instructor will work with the student to identify a make-up due date. </w:t>
            </w:r>
          </w:p>
        </w:tc>
      </w:tr>
      <w:tr w:rsidR="00CD6515" w:rsidRPr="009A7FCC" w14:paraId="4DAFFFC9" w14:textId="77777777" w:rsidTr="00C45DB7">
        <w:tc>
          <w:tcPr>
            <w:tcW w:w="10203" w:type="dxa"/>
            <w:gridSpan w:val="5"/>
            <w:tcBorders>
              <w:bottom w:val="single" w:sz="4" w:space="0" w:color="auto"/>
            </w:tcBorders>
            <w:shd w:val="clear" w:color="auto" w:fill="auto"/>
          </w:tcPr>
          <w:p w14:paraId="377CE6D3" w14:textId="77777777" w:rsidR="00CD6515" w:rsidRPr="009A7FCC" w:rsidRDefault="00CD6515" w:rsidP="00CD6515">
            <w:pPr>
              <w:rPr>
                <w:rFonts w:ascii="Arial" w:hAnsi="Arial" w:cs="Arial"/>
                <w:sz w:val="20"/>
              </w:rPr>
            </w:pPr>
          </w:p>
        </w:tc>
      </w:tr>
      <w:tr w:rsidR="00CD6515" w:rsidRPr="009A7FCC" w14:paraId="0A3736A8" w14:textId="77777777" w:rsidTr="00C45DB7">
        <w:tc>
          <w:tcPr>
            <w:tcW w:w="10203" w:type="dxa"/>
            <w:gridSpan w:val="5"/>
            <w:tcBorders>
              <w:top w:val="single" w:sz="4" w:space="0" w:color="auto"/>
              <w:left w:val="single" w:sz="4" w:space="0" w:color="auto"/>
              <w:bottom w:val="single" w:sz="4" w:space="0" w:color="auto"/>
              <w:right w:val="single" w:sz="4" w:space="0" w:color="auto"/>
            </w:tcBorders>
            <w:shd w:val="clear" w:color="auto" w:fill="000000"/>
          </w:tcPr>
          <w:p w14:paraId="73F49CFB" w14:textId="77777777" w:rsidR="00CD6515" w:rsidRPr="009A7FCC" w:rsidRDefault="00CD6515" w:rsidP="00CD6515">
            <w:pPr>
              <w:rPr>
                <w:rFonts w:ascii="Arial" w:hAnsi="Arial" w:cs="Arial"/>
                <w:b/>
                <w:sz w:val="20"/>
              </w:rPr>
            </w:pPr>
            <w:r w:rsidRPr="009A7FCC">
              <w:rPr>
                <w:rFonts w:ascii="Arial" w:hAnsi="Arial" w:cs="Arial"/>
                <w:b/>
                <w:sz w:val="20"/>
              </w:rPr>
              <w:t>Other Pertinent Course Information</w:t>
            </w:r>
          </w:p>
        </w:tc>
      </w:tr>
      <w:tr w:rsidR="00CD6515" w:rsidRPr="009A7FCC" w14:paraId="2B87B9D0" w14:textId="77777777" w:rsidTr="00C45DB7">
        <w:trPr>
          <w:trHeight w:val="89"/>
        </w:trPr>
        <w:tc>
          <w:tcPr>
            <w:tcW w:w="10203" w:type="dxa"/>
            <w:gridSpan w:val="5"/>
            <w:tcBorders>
              <w:top w:val="single" w:sz="4" w:space="0" w:color="auto"/>
            </w:tcBorders>
            <w:shd w:val="clear" w:color="auto" w:fill="auto"/>
          </w:tcPr>
          <w:p w14:paraId="03388D0C" w14:textId="77777777" w:rsidR="00CD6515" w:rsidRPr="009A7FCC" w:rsidRDefault="00CD6515" w:rsidP="00CD6515">
            <w:pPr>
              <w:rPr>
                <w:rFonts w:ascii="Arial" w:hAnsi="Arial" w:cs="Arial"/>
                <w:sz w:val="10"/>
              </w:rPr>
            </w:pPr>
          </w:p>
        </w:tc>
      </w:tr>
      <w:tr w:rsidR="00CD6515" w:rsidRPr="009A7FCC" w14:paraId="46EF92B6" w14:textId="77777777" w:rsidTr="00C45DB7">
        <w:tc>
          <w:tcPr>
            <w:tcW w:w="10203" w:type="dxa"/>
            <w:gridSpan w:val="5"/>
            <w:shd w:val="clear" w:color="auto" w:fill="auto"/>
          </w:tcPr>
          <w:p w14:paraId="10F019BD" w14:textId="7D0C05F7" w:rsidR="00CD6515" w:rsidRPr="00C8375B" w:rsidRDefault="00CD6515" w:rsidP="00CD6515">
            <w:pPr>
              <w:rPr>
                <w:rFonts w:ascii="Arial" w:hAnsi="Arial" w:cs="Arial"/>
                <w:noProof/>
                <w:sz w:val="20"/>
              </w:rPr>
            </w:pPr>
            <w:r w:rsidRPr="00C8375B">
              <w:rPr>
                <w:rFonts w:ascii="Arial" w:hAnsi="Arial" w:cs="Arial"/>
                <w:noProof/>
                <w:sz w:val="20"/>
              </w:rPr>
              <w:t xml:space="preserve">Every effort will be made to ensure that power point lecture files, notes, articles and assignments are available online in a timely manner. Written assignments will be delivered thru the Blackboard course website.  Handouts, changes in assignments or the schedule of class modules will be announced on the Bb course webpage. E-mail contact will be initiated with all students the first week of class. If you do not have access to your assigned TAMHSC e-mail account, it is your responsibility to make the instructor aware of that fact so that other arrangements may be made. You are expected to use Blackboard e-mail address for all official correspondence. </w:t>
            </w:r>
          </w:p>
          <w:p w14:paraId="6618227A" w14:textId="77777777" w:rsidR="00CD6515" w:rsidRPr="009A7FCC" w:rsidRDefault="00CD6515" w:rsidP="00CD6515">
            <w:pPr>
              <w:rPr>
                <w:rFonts w:ascii="Arial" w:hAnsi="Arial" w:cs="Arial"/>
                <w:sz w:val="20"/>
              </w:rPr>
            </w:pPr>
          </w:p>
        </w:tc>
      </w:tr>
      <w:tr w:rsidR="00CD6515" w:rsidRPr="009A7FCC" w14:paraId="6EE8CF27" w14:textId="77777777" w:rsidTr="00C45DB7">
        <w:tc>
          <w:tcPr>
            <w:tcW w:w="10203" w:type="dxa"/>
            <w:gridSpan w:val="5"/>
            <w:tcBorders>
              <w:top w:val="single" w:sz="4" w:space="0" w:color="auto"/>
              <w:left w:val="single" w:sz="4" w:space="0" w:color="auto"/>
              <w:right w:val="single" w:sz="4" w:space="0" w:color="auto"/>
            </w:tcBorders>
            <w:shd w:val="clear" w:color="auto" w:fill="000000"/>
          </w:tcPr>
          <w:p w14:paraId="6FDC3BA3" w14:textId="77777777" w:rsidR="00CD6515" w:rsidRPr="009A7FCC" w:rsidRDefault="00CD6515" w:rsidP="00CD6515">
            <w:pPr>
              <w:rPr>
                <w:rFonts w:ascii="Arial" w:hAnsi="Arial" w:cs="Arial"/>
                <w:b/>
                <w:sz w:val="20"/>
              </w:rPr>
            </w:pPr>
            <w:r>
              <w:rPr>
                <w:rFonts w:ascii="Arial" w:hAnsi="Arial" w:cs="Arial"/>
                <w:b/>
                <w:sz w:val="20"/>
              </w:rPr>
              <w:t>eCampus (Blackboard)</w:t>
            </w:r>
          </w:p>
        </w:tc>
      </w:tr>
    </w:tbl>
    <w:p w14:paraId="6C72E4E4" w14:textId="42146D23" w:rsidR="00E47093" w:rsidRPr="00E47093" w:rsidRDefault="00E47093" w:rsidP="00E47093">
      <w:pPr>
        <w:pStyle w:val="NormalWeb"/>
        <w:rPr>
          <w:rFonts w:ascii="Arial" w:hAnsi="Arial" w:cs="Arial"/>
          <w:sz w:val="20"/>
          <w:szCs w:val="20"/>
        </w:rPr>
      </w:pPr>
      <w:r w:rsidRPr="00E47093">
        <w:rPr>
          <w:rFonts w:ascii="Arial" w:hAnsi="Arial" w:cs="Arial"/>
          <w:bCs/>
          <w:noProof/>
          <w:sz w:val="20"/>
          <w:szCs w:val="20"/>
        </w:rPr>
        <w:lastRenderedPageBreak/>
        <w:t>Within the course’s eCampus site you will access the learning materials, tutorials, and syllabus; discuss issues; submit assignments; take quizzes; email other students and the instructor; participate in online activities; and display your projects.</w:t>
      </w:r>
    </w:p>
    <w:p w14:paraId="0EC3F777" w14:textId="77777777" w:rsidR="00E47093" w:rsidRPr="00E47093" w:rsidRDefault="00E47093" w:rsidP="00E47093">
      <w:pPr>
        <w:rPr>
          <w:rFonts w:ascii="Arial" w:hAnsi="Arial" w:cs="Arial"/>
          <w:b/>
          <w:i/>
          <w:sz w:val="20"/>
          <w:szCs w:val="20"/>
        </w:rPr>
      </w:pPr>
      <w:r w:rsidRPr="00E47093">
        <w:rPr>
          <w:rFonts w:ascii="Arial" w:hAnsi="Arial" w:cs="Arial"/>
          <w:sz w:val="20"/>
          <w:szCs w:val="20"/>
        </w:rPr>
        <w:t xml:space="preserve">In order to access the course material you will need to go to login into </w:t>
      </w:r>
      <w:hyperlink r:id="rId11" w:history="1">
        <w:r w:rsidRPr="00E47093">
          <w:rPr>
            <w:rStyle w:val="Hyperlink"/>
            <w:rFonts w:ascii="Arial" w:hAnsi="Arial" w:cs="Arial"/>
            <w:sz w:val="20"/>
            <w:szCs w:val="20"/>
          </w:rPr>
          <w:t>Howdy</w:t>
        </w:r>
      </w:hyperlink>
      <w:r w:rsidRPr="00E47093">
        <w:rPr>
          <w:rFonts w:ascii="Arial" w:hAnsi="Arial" w:cs="Arial"/>
          <w:sz w:val="20"/>
          <w:szCs w:val="20"/>
        </w:rPr>
        <w:t xml:space="preserve"> and then click the eCampus button on the top right or look for Quick Links on the bottom of the School’s homepage or go to </w:t>
      </w:r>
      <w:hyperlink r:id="rId12" w:history="1">
        <w:r w:rsidRPr="00E47093">
          <w:rPr>
            <w:rStyle w:val="Hyperlink"/>
            <w:rFonts w:ascii="Arial" w:hAnsi="Arial" w:cs="Arial"/>
            <w:sz w:val="20"/>
            <w:szCs w:val="20"/>
          </w:rPr>
          <w:t>http://ecampus.tamu.edu</w:t>
        </w:r>
      </w:hyperlink>
      <w:r w:rsidRPr="00E47093">
        <w:rPr>
          <w:rFonts w:ascii="Arial" w:hAnsi="Arial" w:cs="Arial"/>
          <w:sz w:val="20"/>
          <w:szCs w:val="20"/>
        </w:rPr>
        <w:t xml:space="preserve"> Please do not contact your instructor with technical problems.  If you are having a technical problem with the course, review the </w:t>
      </w:r>
      <w:hyperlink r:id="rId13" w:history="1">
        <w:r w:rsidRPr="00E47093">
          <w:rPr>
            <w:rStyle w:val="Hyperlink"/>
            <w:rFonts w:ascii="Arial" w:hAnsi="Arial" w:cs="Arial"/>
            <w:sz w:val="20"/>
            <w:szCs w:val="20"/>
          </w:rPr>
          <w:t>Blackboard Learn Tutorials</w:t>
        </w:r>
      </w:hyperlink>
      <w:r w:rsidRPr="00E47093">
        <w:rPr>
          <w:rFonts w:ascii="Arial" w:hAnsi="Arial" w:cs="Arial"/>
          <w:sz w:val="20"/>
          <w:szCs w:val="20"/>
        </w:rPr>
        <w:t xml:space="preserve">  (at the top-right of School’s Office of Academic Assessment and Instructional Technology website). For login issues (password not working), please contact TAMU Help Desk at </w:t>
      </w:r>
      <w:hyperlink r:id="rId14" w:history="1">
        <w:r w:rsidRPr="00E47093">
          <w:rPr>
            <w:rStyle w:val="Hyperlink"/>
            <w:rFonts w:ascii="Arial" w:hAnsi="Arial" w:cs="Arial"/>
            <w:sz w:val="20"/>
            <w:szCs w:val="20"/>
          </w:rPr>
          <w:t>helpdesk@tamu.edu</w:t>
        </w:r>
      </w:hyperlink>
      <w:r w:rsidRPr="00E47093">
        <w:rPr>
          <w:rFonts w:ascii="Arial" w:hAnsi="Arial" w:cs="Arial"/>
          <w:sz w:val="20"/>
          <w:szCs w:val="20"/>
        </w:rPr>
        <w:t xml:space="preserve"> via E-mail, or phone to (979) 845-8300. </w:t>
      </w:r>
      <w:r w:rsidRPr="00E47093">
        <w:rPr>
          <w:rFonts w:ascii="Arial" w:hAnsi="Arial" w:cs="Arial"/>
          <w:b/>
          <w:i/>
          <w:sz w:val="20"/>
          <w:szCs w:val="20"/>
        </w:rPr>
        <w:t>Your eCampus login is the same as your Howdy login (NetID).</w:t>
      </w:r>
    </w:p>
    <w:p w14:paraId="0EF954CB" w14:textId="77777777" w:rsidR="00E47093" w:rsidRPr="00E47093" w:rsidRDefault="00E47093" w:rsidP="00E47093">
      <w:pPr>
        <w:rPr>
          <w:rFonts w:ascii="Arial" w:hAnsi="Arial" w:cs="Arial"/>
          <w:b/>
          <w:bCs/>
          <w:sz w:val="20"/>
          <w:szCs w:val="20"/>
        </w:rPr>
      </w:pPr>
    </w:p>
    <w:p w14:paraId="0E36AAF1" w14:textId="77777777" w:rsidR="00E47093" w:rsidRPr="00E47093" w:rsidRDefault="00E47093" w:rsidP="00E47093">
      <w:pPr>
        <w:rPr>
          <w:rFonts w:ascii="Arial" w:hAnsi="Arial" w:cs="Arial"/>
          <w:b/>
          <w:bCs/>
          <w:sz w:val="20"/>
          <w:szCs w:val="20"/>
        </w:rPr>
      </w:pPr>
      <w:r w:rsidRPr="00E47093">
        <w:rPr>
          <w:rFonts w:ascii="Arial" w:hAnsi="Arial" w:cs="Arial"/>
          <w:b/>
          <w:bCs/>
          <w:sz w:val="20"/>
          <w:szCs w:val="20"/>
        </w:rPr>
        <w:t>Computer Requirements for Online Courses</w:t>
      </w:r>
    </w:p>
    <w:p w14:paraId="6248A60E" w14:textId="77777777" w:rsidR="00E47093" w:rsidRPr="00E47093" w:rsidRDefault="00E47093" w:rsidP="00E47093">
      <w:pPr>
        <w:rPr>
          <w:rFonts w:ascii="Arial" w:hAnsi="Arial" w:cs="Arial"/>
          <w:sz w:val="20"/>
          <w:szCs w:val="20"/>
        </w:rPr>
      </w:pPr>
      <w:r w:rsidRPr="00E47093">
        <w:rPr>
          <w:rFonts w:ascii="Arial" w:hAnsi="Arial" w:cs="Arial"/>
          <w:sz w:val="20"/>
          <w:szCs w:val="20"/>
        </w:rPr>
        <w:t xml:space="preserve">For this and all online courses we recommend the minimum technical requirements outlined on our "SPH Computer Requirements for Online Courses” web page, located at </w:t>
      </w:r>
      <w:hyperlink r:id="rId15" w:history="1">
        <w:r w:rsidRPr="00E47093">
          <w:rPr>
            <w:rStyle w:val="Hyperlink"/>
            <w:rFonts w:ascii="Arial" w:hAnsi="Arial" w:cs="Arial"/>
            <w:sz w:val="20"/>
            <w:szCs w:val="20"/>
          </w:rPr>
          <w:t>http://www.sph.tamhsc.edu/assessment-instructional/com-requirement.html</w:t>
        </w:r>
      </w:hyperlink>
    </w:p>
    <w:p w14:paraId="1817645E" w14:textId="77777777" w:rsidR="00E47093" w:rsidRPr="00E47093" w:rsidRDefault="00E47093" w:rsidP="00E47093">
      <w:pPr>
        <w:rPr>
          <w:rFonts w:ascii="Arial" w:hAnsi="Arial" w:cs="Arial"/>
          <w:sz w:val="20"/>
          <w:szCs w:val="20"/>
        </w:rPr>
      </w:pPr>
    </w:p>
    <w:p w14:paraId="54723899" w14:textId="77777777" w:rsidR="00E47093" w:rsidRPr="00E47093" w:rsidRDefault="00E47093" w:rsidP="00E47093">
      <w:pPr>
        <w:rPr>
          <w:rFonts w:ascii="Arial" w:hAnsi="Arial" w:cs="Arial"/>
          <w:sz w:val="20"/>
          <w:szCs w:val="20"/>
        </w:rPr>
      </w:pPr>
      <w:r w:rsidRPr="00E47093">
        <w:rPr>
          <w:rFonts w:ascii="Arial" w:hAnsi="Arial" w:cs="Arial"/>
          <w:sz w:val="20"/>
          <w:szCs w:val="20"/>
        </w:rPr>
        <w:t xml:space="preserve">All computing problems or other technical issues </w:t>
      </w:r>
      <w:r w:rsidRPr="00E47093">
        <w:rPr>
          <w:rFonts w:ascii="Arial" w:hAnsi="Arial" w:cs="Arial"/>
          <w:b/>
          <w:i/>
          <w:sz w:val="20"/>
          <w:szCs w:val="20"/>
        </w:rPr>
        <w:t>not related to eCampus</w:t>
      </w:r>
      <w:r w:rsidRPr="00E47093">
        <w:rPr>
          <w:rFonts w:ascii="Arial" w:hAnsi="Arial" w:cs="Arial"/>
          <w:sz w:val="20"/>
          <w:szCs w:val="20"/>
        </w:rPr>
        <w:t>, please contact:</w:t>
      </w:r>
    </w:p>
    <w:p w14:paraId="3CF2263D" w14:textId="77777777" w:rsidR="00E47093" w:rsidRPr="00E47093" w:rsidRDefault="00E47093" w:rsidP="00E47093">
      <w:pPr>
        <w:rPr>
          <w:rFonts w:ascii="Arial" w:hAnsi="Arial" w:cs="Arial"/>
          <w:sz w:val="20"/>
          <w:szCs w:val="20"/>
        </w:rPr>
      </w:pPr>
    </w:p>
    <w:p w14:paraId="30B1D824" w14:textId="77777777" w:rsidR="00E47093" w:rsidRPr="00E47093" w:rsidRDefault="00E47093" w:rsidP="00E47093">
      <w:pPr>
        <w:numPr>
          <w:ilvl w:val="0"/>
          <w:numId w:val="16"/>
        </w:numPr>
        <w:rPr>
          <w:rFonts w:ascii="Arial" w:hAnsi="Arial" w:cs="Arial"/>
          <w:sz w:val="20"/>
          <w:szCs w:val="20"/>
        </w:rPr>
      </w:pPr>
      <w:r w:rsidRPr="00E47093">
        <w:rPr>
          <w:rFonts w:ascii="Arial" w:hAnsi="Arial" w:cs="Arial"/>
          <w:sz w:val="20"/>
          <w:szCs w:val="20"/>
        </w:rPr>
        <w:t xml:space="preserve">TAMHSC related account:  </w:t>
      </w:r>
      <w:hyperlink r:id="rId16" w:history="1">
        <w:r w:rsidRPr="00E47093">
          <w:rPr>
            <w:rStyle w:val="Hyperlink"/>
            <w:rFonts w:ascii="Arial" w:hAnsi="Arial" w:cs="Arial"/>
            <w:sz w:val="20"/>
            <w:szCs w:val="20"/>
          </w:rPr>
          <w:t>helpdesk@tamhsc.edu</w:t>
        </w:r>
      </w:hyperlink>
      <w:r w:rsidRPr="00E47093">
        <w:rPr>
          <w:rFonts w:ascii="Arial" w:hAnsi="Arial" w:cs="Arial"/>
          <w:sz w:val="20"/>
          <w:szCs w:val="20"/>
        </w:rPr>
        <w:t xml:space="preserve"> via E-mail, or phone to (979) 862-8029</w:t>
      </w:r>
    </w:p>
    <w:p w14:paraId="31BD98B9" w14:textId="77777777" w:rsidR="00E47093" w:rsidRPr="00E47093" w:rsidRDefault="00E47093" w:rsidP="00E47093">
      <w:pPr>
        <w:rPr>
          <w:rFonts w:ascii="Arial" w:hAnsi="Arial" w:cs="Arial"/>
          <w:sz w:val="20"/>
          <w:szCs w:val="20"/>
        </w:rPr>
      </w:pPr>
    </w:p>
    <w:p w14:paraId="5198BB29" w14:textId="77777777" w:rsidR="00E47093" w:rsidRPr="00E47093" w:rsidRDefault="00E47093" w:rsidP="00E47093">
      <w:pPr>
        <w:numPr>
          <w:ilvl w:val="0"/>
          <w:numId w:val="16"/>
        </w:numPr>
        <w:rPr>
          <w:rFonts w:ascii="Arial" w:hAnsi="Arial" w:cs="Arial"/>
          <w:sz w:val="20"/>
          <w:szCs w:val="20"/>
        </w:rPr>
      </w:pPr>
      <w:r w:rsidRPr="00E47093">
        <w:rPr>
          <w:rFonts w:ascii="Arial" w:hAnsi="Arial" w:cs="Arial"/>
          <w:sz w:val="20"/>
          <w:szCs w:val="20"/>
        </w:rPr>
        <w:t xml:space="preserve">TAMU related account:  </w:t>
      </w:r>
      <w:hyperlink r:id="rId17" w:history="1">
        <w:r w:rsidRPr="00E47093">
          <w:rPr>
            <w:rStyle w:val="Hyperlink"/>
            <w:rFonts w:ascii="Arial" w:hAnsi="Arial" w:cs="Arial"/>
            <w:sz w:val="20"/>
            <w:szCs w:val="20"/>
          </w:rPr>
          <w:t>helpdesk@tamu.edu</w:t>
        </w:r>
      </w:hyperlink>
      <w:r w:rsidRPr="00E47093">
        <w:rPr>
          <w:rFonts w:ascii="Arial" w:hAnsi="Arial" w:cs="Arial"/>
          <w:sz w:val="20"/>
          <w:szCs w:val="20"/>
        </w:rPr>
        <w:t xml:space="preserve"> via E-mail, or phone to (979) 845-8300 </w:t>
      </w:r>
    </w:p>
    <w:p w14:paraId="6B50F872" w14:textId="77777777" w:rsidR="00E47093" w:rsidRPr="00E47093" w:rsidRDefault="00E47093" w:rsidP="00E47093">
      <w:pPr>
        <w:rPr>
          <w:rFonts w:ascii="Arial" w:hAnsi="Arial" w:cs="Arial"/>
          <w:sz w:val="20"/>
          <w:szCs w:val="20"/>
        </w:rPr>
      </w:pPr>
    </w:p>
    <w:p w14:paraId="1C58247A" w14:textId="77777777" w:rsidR="00E47093" w:rsidRPr="00E47093" w:rsidRDefault="00E47093" w:rsidP="00E47093">
      <w:pPr>
        <w:rPr>
          <w:rFonts w:ascii="Arial" w:hAnsi="Arial" w:cs="Arial"/>
          <w:b/>
          <w:sz w:val="20"/>
          <w:szCs w:val="20"/>
        </w:rPr>
      </w:pPr>
    </w:p>
    <w:p w14:paraId="7C7C27EB" w14:textId="77777777" w:rsidR="00E47093" w:rsidRPr="00E47093" w:rsidRDefault="00E47093" w:rsidP="00E47093">
      <w:pPr>
        <w:rPr>
          <w:rFonts w:ascii="Arial" w:hAnsi="Arial" w:cs="Arial"/>
          <w:sz w:val="20"/>
          <w:szCs w:val="20"/>
        </w:rPr>
      </w:pPr>
      <w:r w:rsidRPr="00E47093">
        <w:rPr>
          <w:rFonts w:ascii="Arial" w:hAnsi="Arial" w:cs="Arial"/>
          <w:b/>
          <w:sz w:val="20"/>
          <w:szCs w:val="20"/>
        </w:rPr>
        <w:t>Important</w:t>
      </w:r>
      <w:r w:rsidRPr="00E47093">
        <w:rPr>
          <w:rFonts w:ascii="Arial" w:hAnsi="Arial" w:cs="Arial"/>
          <w:b/>
          <w:bCs/>
          <w:sz w:val="20"/>
          <w:szCs w:val="20"/>
        </w:rPr>
        <w:t xml:space="preserve">!!!   </w:t>
      </w:r>
      <w:r w:rsidRPr="00E47093">
        <w:rPr>
          <w:rFonts w:ascii="Arial" w:hAnsi="Arial" w:cs="Arial"/>
          <w:sz w:val="20"/>
          <w:szCs w:val="20"/>
        </w:rPr>
        <w:t>Save your work as you go along. Nothing is more discouraging than to lose an assignment due to a computer hang ups! You may want to also make hard copies of your work to have "proof" and save yourself time and trouble!</w:t>
      </w:r>
    </w:p>
    <w:p w14:paraId="70AE4D0B" w14:textId="77777777" w:rsidR="00E47093" w:rsidRPr="00E47093" w:rsidRDefault="00B64403" w:rsidP="00B64403">
      <w:pPr>
        <w:rPr>
          <w:rFonts w:ascii="Arial" w:eastAsia="MS Mincho" w:hAnsi="Arial" w:cs="Arial"/>
          <w:sz w:val="20"/>
          <w:szCs w:val="20"/>
        </w:rPr>
      </w:pPr>
      <w:r w:rsidRPr="00E47093">
        <w:rPr>
          <w:rFonts w:ascii="Arial" w:eastAsia="MS Mincho" w:hAnsi="Arial" w:cs="Arial"/>
          <w:sz w:val="20"/>
          <w:szCs w:val="20"/>
        </w:rPr>
        <w:tab/>
      </w:r>
      <w:r w:rsidRPr="00E47093">
        <w:rPr>
          <w:rFonts w:ascii="Arial" w:eastAsia="MS Mincho" w:hAnsi="Arial" w:cs="Arial"/>
          <w:sz w:val="20"/>
          <w:szCs w:val="20"/>
        </w:rPr>
        <w:tab/>
      </w:r>
    </w:p>
    <w:tbl>
      <w:tblPr>
        <w:tblW w:w="9720" w:type="dxa"/>
        <w:tblInd w:w="-72" w:type="dxa"/>
        <w:tblLayout w:type="fixed"/>
        <w:tblLook w:val="00A0" w:firstRow="1" w:lastRow="0" w:firstColumn="1" w:lastColumn="0" w:noHBand="0" w:noVBand="0"/>
      </w:tblPr>
      <w:tblGrid>
        <w:gridCol w:w="9720"/>
      </w:tblGrid>
      <w:tr w:rsidR="00E47093" w:rsidRPr="00E47093" w14:paraId="32CA66CC" w14:textId="77777777" w:rsidTr="0044236F">
        <w:tc>
          <w:tcPr>
            <w:tcW w:w="9720" w:type="dxa"/>
            <w:tcBorders>
              <w:top w:val="single" w:sz="4" w:space="0" w:color="auto"/>
              <w:left w:val="single" w:sz="4" w:space="0" w:color="auto"/>
              <w:right w:val="single" w:sz="4" w:space="0" w:color="auto"/>
            </w:tcBorders>
            <w:shd w:val="clear" w:color="auto" w:fill="000000"/>
          </w:tcPr>
          <w:p w14:paraId="69CE84D2" w14:textId="77777777" w:rsidR="00E47093" w:rsidRPr="00E47093" w:rsidRDefault="00E47093" w:rsidP="0044236F">
            <w:pPr>
              <w:rPr>
                <w:rFonts w:ascii="Arial" w:hAnsi="Arial" w:cs="Arial"/>
                <w:b/>
                <w:sz w:val="20"/>
                <w:szCs w:val="20"/>
              </w:rPr>
            </w:pPr>
            <w:r w:rsidRPr="00E47093">
              <w:rPr>
                <w:rFonts w:ascii="Arial" w:hAnsi="Arial" w:cs="Arial"/>
                <w:b/>
                <w:sz w:val="20"/>
                <w:szCs w:val="20"/>
              </w:rPr>
              <w:t>Plagiarism Virtual Course</w:t>
            </w:r>
          </w:p>
        </w:tc>
      </w:tr>
      <w:tr w:rsidR="00E47093" w:rsidRPr="00E47093" w14:paraId="303DA386" w14:textId="77777777" w:rsidTr="0044236F">
        <w:tc>
          <w:tcPr>
            <w:tcW w:w="9720" w:type="dxa"/>
            <w:shd w:val="clear" w:color="auto" w:fill="auto"/>
          </w:tcPr>
          <w:p w14:paraId="19D67947" w14:textId="77777777" w:rsidR="00E47093" w:rsidRPr="00E47093" w:rsidRDefault="00E47093" w:rsidP="0044236F">
            <w:pPr>
              <w:rPr>
                <w:rFonts w:ascii="Arial" w:hAnsi="Arial" w:cs="Arial"/>
                <w:sz w:val="20"/>
                <w:szCs w:val="20"/>
              </w:rPr>
            </w:pPr>
          </w:p>
          <w:p w14:paraId="53F7521D" w14:textId="77777777" w:rsidR="00E47093" w:rsidRPr="00E47093" w:rsidRDefault="00E47093" w:rsidP="0044236F">
            <w:pPr>
              <w:rPr>
                <w:rFonts w:ascii="Arial" w:hAnsi="Arial" w:cs="Arial"/>
                <w:sz w:val="20"/>
                <w:szCs w:val="20"/>
              </w:rPr>
            </w:pPr>
            <w:r w:rsidRPr="00E47093">
              <w:rPr>
                <w:rFonts w:ascii="Arial" w:eastAsia="Cambria" w:hAnsi="Arial" w:cs="Arial"/>
                <w:sz w:val="20"/>
                <w:szCs w:val="20"/>
              </w:rPr>
              <w:t xml:space="preserve">Plagiarism is the leading form of academic dishonesty that the School of Public Health has to address. As a SPH student, you are responsible for knowing what plagiarism is and how to avoid it. All SPH students are automatically enrolled in Plagiarism Virtual Course on eCampus.  This virtual course provides you with information and examples related to plagiarism in an effort to reduce the number of reported incidents. Please find a tutorial and resources under "Content." In addition, please find Turnitin, a software package that allows you to check whether you may have plagiarized your document. Please see Phuong Huynh: </w:t>
            </w:r>
            <w:hyperlink r:id="rId18" w:history="1">
              <w:r w:rsidRPr="00E47093">
                <w:rPr>
                  <w:rStyle w:val="Hyperlink"/>
                  <w:rFonts w:ascii="Arial" w:eastAsia="Cambria" w:hAnsi="Arial" w:cs="Arial"/>
                  <w:sz w:val="20"/>
                  <w:szCs w:val="20"/>
                </w:rPr>
                <w:t>phuong@sph.tamhsc.edu</w:t>
              </w:r>
            </w:hyperlink>
            <w:r w:rsidRPr="00E47093">
              <w:rPr>
                <w:rFonts w:ascii="Arial" w:eastAsia="Cambria" w:hAnsi="Arial" w:cs="Arial"/>
                <w:sz w:val="20"/>
                <w:szCs w:val="20"/>
              </w:rPr>
              <w:t xml:space="preserve"> for additional information.</w:t>
            </w:r>
          </w:p>
          <w:p w14:paraId="5215FAA6" w14:textId="77777777" w:rsidR="00E47093" w:rsidRPr="00E47093" w:rsidRDefault="00E47093" w:rsidP="0044236F">
            <w:pPr>
              <w:pStyle w:val="NormalWeb"/>
              <w:rPr>
                <w:rFonts w:ascii="Arial" w:hAnsi="Arial" w:cs="Arial"/>
                <w:sz w:val="20"/>
                <w:szCs w:val="20"/>
              </w:rPr>
            </w:pPr>
          </w:p>
        </w:tc>
      </w:tr>
      <w:tr w:rsidR="00E47093" w:rsidRPr="00E47093" w14:paraId="550AF4D0" w14:textId="77777777" w:rsidTr="0044236F">
        <w:tc>
          <w:tcPr>
            <w:tcW w:w="9720" w:type="dxa"/>
            <w:tcBorders>
              <w:top w:val="single" w:sz="4" w:space="0" w:color="auto"/>
              <w:left w:val="single" w:sz="4" w:space="0" w:color="auto"/>
              <w:right w:val="single" w:sz="4" w:space="0" w:color="auto"/>
            </w:tcBorders>
            <w:shd w:val="clear" w:color="auto" w:fill="000000"/>
          </w:tcPr>
          <w:p w14:paraId="47B710C3" w14:textId="77777777" w:rsidR="00E47093" w:rsidRPr="00E47093" w:rsidRDefault="00E47093" w:rsidP="0044236F">
            <w:pPr>
              <w:rPr>
                <w:rFonts w:ascii="Arial" w:hAnsi="Arial" w:cs="Arial"/>
                <w:b/>
                <w:sz w:val="20"/>
                <w:szCs w:val="20"/>
              </w:rPr>
            </w:pPr>
            <w:r w:rsidRPr="00E47093">
              <w:rPr>
                <w:rFonts w:ascii="Arial" w:hAnsi="Arial" w:cs="Arial"/>
                <w:b/>
                <w:sz w:val="20"/>
                <w:szCs w:val="20"/>
              </w:rPr>
              <w:t>Course Evaluation</w:t>
            </w:r>
          </w:p>
        </w:tc>
      </w:tr>
      <w:tr w:rsidR="00E47093" w:rsidRPr="00E47093" w14:paraId="1C096A12" w14:textId="77777777" w:rsidTr="0044236F">
        <w:tc>
          <w:tcPr>
            <w:tcW w:w="9720" w:type="dxa"/>
            <w:shd w:val="clear" w:color="auto" w:fill="auto"/>
          </w:tcPr>
          <w:p w14:paraId="205E9F97" w14:textId="77777777" w:rsidR="00E47093" w:rsidRPr="00E47093" w:rsidRDefault="00E47093" w:rsidP="0044236F">
            <w:pPr>
              <w:rPr>
                <w:rFonts w:ascii="Arial" w:hAnsi="Arial" w:cs="Arial"/>
                <w:sz w:val="20"/>
                <w:szCs w:val="20"/>
              </w:rPr>
            </w:pPr>
          </w:p>
          <w:p w14:paraId="691D1708" w14:textId="77777777" w:rsidR="00E47093" w:rsidRPr="00E47093" w:rsidRDefault="00E47093" w:rsidP="0044236F">
            <w:pPr>
              <w:rPr>
                <w:rFonts w:ascii="Arial" w:eastAsia="Cambria" w:hAnsi="Arial" w:cs="Arial"/>
                <w:sz w:val="20"/>
                <w:szCs w:val="20"/>
              </w:rPr>
            </w:pPr>
            <w:r w:rsidRPr="00E47093">
              <w:rPr>
                <w:rFonts w:ascii="Arial" w:hAnsi="Arial" w:cs="Arial"/>
                <w:sz w:val="20"/>
                <w:szCs w:val="20"/>
              </w:rPr>
              <w:t>Constructive feedback from students on course evaluations is taken very seriously at the School of Public Health.  I am asking for your assistance in helping the School in its assessment of courses and faculty through your participation in the evaluation of your courses.  As public health professionals you will one day have the responsibility to evaluate colleagues and health initiatives. The School views providing feedback on the School’s courses as part of your professional responsibility. </w:t>
            </w:r>
          </w:p>
        </w:tc>
      </w:tr>
      <w:tr w:rsidR="00E47093" w:rsidRPr="00E47093" w14:paraId="47D6D773" w14:textId="77777777" w:rsidTr="0044236F">
        <w:tc>
          <w:tcPr>
            <w:tcW w:w="9720" w:type="dxa"/>
            <w:shd w:val="clear" w:color="auto" w:fill="auto"/>
          </w:tcPr>
          <w:p w14:paraId="3036F80D" w14:textId="77777777" w:rsidR="00E47093" w:rsidRPr="00E47093" w:rsidRDefault="00E47093" w:rsidP="0044236F">
            <w:pPr>
              <w:rPr>
                <w:rFonts w:ascii="Arial" w:hAnsi="Arial" w:cs="Arial"/>
                <w:sz w:val="20"/>
                <w:szCs w:val="20"/>
              </w:rPr>
            </w:pPr>
          </w:p>
        </w:tc>
      </w:tr>
      <w:tr w:rsidR="00E47093" w:rsidRPr="00E47093" w14:paraId="5999EF12" w14:textId="77777777" w:rsidTr="0044236F">
        <w:tc>
          <w:tcPr>
            <w:tcW w:w="9720" w:type="dxa"/>
            <w:tcBorders>
              <w:left w:val="single" w:sz="4" w:space="0" w:color="auto"/>
              <w:bottom w:val="single" w:sz="4" w:space="0" w:color="auto"/>
              <w:right w:val="single" w:sz="4" w:space="0" w:color="auto"/>
            </w:tcBorders>
            <w:shd w:val="clear" w:color="auto" w:fill="000000"/>
          </w:tcPr>
          <w:p w14:paraId="1814309E" w14:textId="77777777" w:rsidR="00E47093" w:rsidRPr="00E47093" w:rsidRDefault="00E47093" w:rsidP="0044236F">
            <w:pPr>
              <w:rPr>
                <w:rFonts w:ascii="Arial" w:hAnsi="Arial" w:cs="Arial"/>
                <w:b/>
                <w:sz w:val="20"/>
                <w:szCs w:val="20"/>
              </w:rPr>
            </w:pPr>
            <w:r w:rsidRPr="00E47093">
              <w:rPr>
                <w:rFonts w:ascii="Arial" w:hAnsi="Arial" w:cs="Arial"/>
                <w:b/>
                <w:sz w:val="20"/>
                <w:szCs w:val="20"/>
              </w:rPr>
              <w:t>SPH Mission</w:t>
            </w:r>
          </w:p>
        </w:tc>
      </w:tr>
      <w:tr w:rsidR="00E47093" w:rsidRPr="00E47093" w14:paraId="25250AC8" w14:textId="77777777" w:rsidTr="0044236F">
        <w:tc>
          <w:tcPr>
            <w:tcW w:w="9720" w:type="dxa"/>
            <w:shd w:val="clear" w:color="auto" w:fill="auto"/>
          </w:tcPr>
          <w:p w14:paraId="01755EEF" w14:textId="77777777" w:rsidR="00E47093" w:rsidRPr="00E47093" w:rsidRDefault="00E47093" w:rsidP="0044236F">
            <w:pPr>
              <w:rPr>
                <w:rFonts w:ascii="Arial" w:hAnsi="Arial" w:cs="Arial"/>
                <w:sz w:val="20"/>
                <w:szCs w:val="20"/>
              </w:rPr>
            </w:pPr>
          </w:p>
          <w:p w14:paraId="0EC79EB0" w14:textId="77777777" w:rsidR="00E47093" w:rsidRPr="00E47093" w:rsidRDefault="00E47093" w:rsidP="0044236F">
            <w:pPr>
              <w:rPr>
                <w:rFonts w:ascii="Arial" w:hAnsi="Arial" w:cs="Arial"/>
                <w:color w:val="262121"/>
                <w:sz w:val="20"/>
                <w:szCs w:val="20"/>
              </w:rPr>
            </w:pPr>
            <w:r w:rsidRPr="00E47093">
              <w:rPr>
                <w:rFonts w:ascii="Arial" w:hAnsi="Arial" w:cs="Arial"/>
                <w:color w:val="262121"/>
                <w:sz w:val="20"/>
                <w:szCs w:val="20"/>
              </w:rPr>
              <w:t>The Texas A&amp;M School of Public Health is committed to transforming health through interdisciplinary inquiry, innovative solutions, and development of leaders through the Aggie tradition of service to engage diverse communities worldwide.</w:t>
            </w:r>
          </w:p>
          <w:p w14:paraId="1B1F91B2" w14:textId="77777777" w:rsidR="00E47093" w:rsidRPr="00E47093" w:rsidRDefault="00E47093" w:rsidP="0044236F">
            <w:pPr>
              <w:rPr>
                <w:rFonts w:ascii="Arial" w:hAnsi="Arial" w:cs="Arial"/>
                <w:sz w:val="20"/>
                <w:szCs w:val="20"/>
              </w:rPr>
            </w:pPr>
          </w:p>
        </w:tc>
      </w:tr>
      <w:tr w:rsidR="00E47093" w:rsidRPr="00E47093" w14:paraId="4AD16A95" w14:textId="77777777" w:rsidTr="0044236F">
        <w:tc>
          <w:tcPr>
            <w:tcW w:w="9720" w:type="dxa"/>
            <w:tcBorders>
              <w:left w:val="single" w:sz="4" w:space="0" w:color="auto"/>
              <w:bottom w:val="single" w:sz="4" w:space="0" w:color="auto"/>
              <w:right w:val="single" w:sz="4" w:space="0" w:color="auto"/>
            </w:tcBorders>
            <w:shd w:val="clear" w:color="auto" w:fill="000000"/>
          </w:tcPr>
          <w:p w14:paraId="191B63D4" w14:textId="77777777" w:rsidR="00E47093" w:rsidRPr="00E47093" w:rsidRDefault="00E47093" w:rsidP="0044236F">
            <w:pPr>
              <w:rPr>
                <w:rFonts w:ascii="Arial" w:hAnsi="Arial" w:cs="Arial"/>
                <w:b/>
                <w:sz w:val="20"/>
                <w:szCs w:val="20"/>
              </w:rPr>
            </w:pPr>
            <w:r w:rsidRPr="00E47093">
              <w:rPr>
                <w:rFonts w:ascii="Arial" w:hAnsi="Arial" w:cs="Arial"/>
                <w:b/>
                <w:sz w:val="20"/>
                <w:szCs w:val="20"/>
              </w:rPr>
              <w:t>Americans with Disabilities Act (ADA)</w:t>
            </w:r>
          </w:p>
        </w:tc>
      </w:tr>
      <w:tr w:rsidR="00E47093" w:rsidRPr="00E47093" w14:paraId="21930501" w14:textId="77777777" w:rsidTr="0044236F">
        <w:trPr>
          <w:trHeight w:val="89"/>
        </w:trPr>
        <w:tc>
          <w:tcPr>
            <w:tcW w:w="9720" w:type="dxa"/>
            <w:tcBorders>
              <w:top w:val="single" w:sz="4" w:space="0" w:color="auto"/>
            </w:tcBorders>
            <w:shd w:val="clear" w:color="auto" w:fill="auto"/>
          </w:tcPr>
          <w:p w14:paraId="5EF2BEEA" w14:textId="77777777" w:rsidR="00E47093" w:rsidRPr="00E47093" w:rsidRDefault="00E47093" w:rsidP="0044236F">
            <w:pPr>
              <w:rPr>
                <w:rFonts w:ascii="Arial" w:hAnsi="Arial" w:cs="Arial"/>
                <w:sz w:val="20"/>
                <w:szCs w:val="20"/>
              </w:rPr>
            </w:pPr>
          </w:p>
        </w:tc>
      </w:tr>
      <w:tr w:rsidR="00E47093" w:rsidRPr="00E47093" w14:paraId="7CE820D6" w14:textId="77777777" w:rsidTr="0044236F">
        <w:tc>
          <w:tcPr>
            <w:tcW w:w="9720" w:type="dxa"/>
            <w:shd w:val="clear" w:color="auto" w:fill="auto"/>
          </w:tcPr>
          <w:p w14:paraId="2033C3B8" w14:textId="77777777" w:rsidR="00E47093" w:rsidRPr="00E47093" w:rsidRDefault="00E47093" w:rsidP="0044236F">
            <w:pPr>
              <w:rPr>
                <w:rFonts w:ascii="Arial" w:hAnsi="Arial" w:cs="Arial"/>
                <w:sz w:val="20"/>
                <w:szCs w:val="20"/>
              </w:rPr>
            </w:pPr>
            <w:r w:rsidRPr="00E47093">
              <w:rPr>
                <w:rFonts w:ascii="Arial" w:hAnsi="Arial" w:cs="Arial"/>
                <w:sz w:val="20"/>
                <w:szCs w:val="20"/>
              </w:rPr>
              <w:br/>
              <w:t xml:space="preserve">The Americans with Disabilities Act (ADA) is a federal anti-discrimination statute that provides comprehensive civil rights protection for persons with disabilities. Among other things, this legislation </w:t>
            </w:r>
            <w:r w:rsidRPr="00E47093">
              <w:rPr>
                <w:rFonts w:ascii="Arial" w:hAnsi="Arial" w:cs="Arial"/>
                <w:sz w:val="20"/>
                <w:szCs w:val="20"/>
              </w:rPr>
              <w:lastRenderedPageBreak/>
              <w:t xml:space="preserve">requires that all students with disabilities be guaranteed a learning environment that provides for reasonable accommodation of their disabilities. If you believe you have a disability requiring an accommodation, please contact Disability Services, currently located in the Disability Services building at the Student Services at White Creek complex on west campus or call 979-845-1637. For additional information, visit </w:t>
            </w:r>
            <w:hyperlink r:id="rId19" w:history="1">
              <w:r w:rsidRPr="00E47093">
                <w:rPr>
                  <w:rStyle w:val="Hyperlink"/>
                  <w:rFonts w:ascii="Arial" w:hAnsi="Arial" w:cs="Arial"/>
                  <w:sz w:val="20"/>
                  <w:szCs w:val="20"/>
                </w:rPr>
                <w:t>http://disability.tamu.edu</w:t>
              </w:r>
            </w:hyperlink>
            <w:r w:rsidRPr="00E47093">
              <w:rPr>
                <w:rFonts w:ascii="Arial" w:hAnsi="Arial" w:cs="Arial"/>
                <w:sz w:val="20"/>
                <w:szCs w:val="20"/>
              </w:rPr>
              <w:t>.</w:t>
            </w:r>
          </w:p>
        </w:tc>
      </w:tr>
      <w:tr w:rsidR="00E47093" w:rsidRPr="00E47093" w14:paraId="7ED48D30" w14:textId="77777777" w:rsidTr="0044236F">
        <w:tc>
          <w:tcPr>
            <w:tcW w:w="9720" w:type="dxa"/>
            <w:shd w:val="clear" w:color="auto" w:fill="auto"/>
          </w:tcPr>
          <w:p w14:paraId="7040BE61" w14:textId="77777777" w:rsidR="00E47093" w:rsidRPr="00E47093" w:rsidRDefault="00E47093" w:rsidP="0044236F">
            <w:pPr>
              <w:rPr>
                <w:rFonts w:ascii="Arial" w:hAnsi="Arial" w:cs="Arial"/>
                <w:sz w:val="20"/>
                <w:szCs w:val="20"/>
              </w:rPr>
            </w:pPr>
          </w:p>
        </w:tc>
      </w:tr>
      <w:tr w:rsidR="00E47093" w:rsidRPr="00E47093" w14:paraId="26B110D3" w14:textId="77777777" w:rsidTr="0044236F">
        <w:tc>
          <w:tcPr>
            <w:tcW w:w="9720" w:type="dxa"/>
            <w:tcBorders>
              <w:left w:val="single" w:sz="4" w:space="0" w:color="auto"/>
              <w:bottom w:val="single" w:sz="4" w:space="0" w:color="auto"/>
              <w:right w:val="single" w:sz="4" w:space="0" w:color="auto"/>
            </w:tcBorders>
            <w:shd w:val="clear" w:color="auto" w:fill="000000"/>
          </w:tcPr>
          <w:p w14:paraId="3B3977AE" w14:textId="77777777" w:rsidR="00E47093" w:rsidRPr="00E47093" w:rsidRDefault="00E47093" w:rsidP="0044236F">
            <w:pPr>
              <w:rPr>
                <w:rFonts w:ascii="Arial" w:hAnsi="Arial" w:cs="Arial"/>
                <w:b/>
                <w:sz w:val="20"/>
                <w:szCs w:val="20"/>
              </w:rPr>
            </w:pPr>
            <w:r w:rsidRPr="00E47093">
              <w:rPr>
                <w:rFonts w:ascii="Arial" w:hAnsi="Arial" w:cs="Arial"/>
                <w:b/>
                <w:sz w:val="20"/>
                <w:szCs w:val="20"/>
              </w:rPr>
              <w:t>Academic Integrity</w:t>
            </w:r>
          </w:p>
        </w:tc>
      </w:tr>
      <w:tr w:rsidR="00E47093" w:rsidRPr="00E47093" w14:paraId="1AED5DFA" w14:textId="77777777" w:rsidTr="0044236F">
        <w:trPr>
          <w:trHeight w:val="89"/>
        </w:trPr>
        <w:tc>
          <w:tcPr>
            <w:tcW w:w="9720" w:type="dxa"/>
            <w:tcBorders>
              <w:top w:val="single" w:sz="4" w:space="0" w:color="auto"/>
            </w:tcBorders>
            <w:shd w:val="clear" w:color="auto" w:fill="auto"/>
          </w:tcPr>
          <w:p w14:paraId="71DF347C" w14:textId="77777777" w:rsidR="00E47093" w:rsidRPr="00E47093" w:rsidRDefault="00E47093" w:rsidP="0044236F">
            <w:pPr>
              <w:rPr>
                <w:rFonts w:ascii="Arial" w:hAnsi="Arial" w:cs="Arial"/>
                <w:sz w:val="20"/>
                <w:szCs w:val="20"/>
              </w:rPr>
            </w:pPr>
          </w:p>
        </w:tc>
      </w:tr>
      <w:tr w:rsidR="00E47093" w:rsidRPr="00E47093" w14:paraId="04ACEA2F" w14:textId="77777777" w:rsidTr="0044236F">
        <w:tc>
          <w:tcPr>
            <w:tcW w:w="9720" w:type="dxa"/>
            <w:shd w:val="clear" w:color="auto" w:fill="auto"/>
          </w:tcPr>
          <w:p w14:paraId="1F3B0D13" w14:textId="77777777" w:rsidR="00E47093" w:rsidRPr="00E47093" w:rsidRDefault="00E47093" w:rsidP="0044236F">
            <w:pPr>
              <w:pStyle w:val="CM8"/>
              <w:spacing w:after="190"/>
              <w:rPr>
                <w:rFonts w:ascii="Arial" w:hAnsi="Arial" w:cs="Arial"/>
                <w:sz w:val="20"/>
                <w:szCs w:val="20"/>
              </w:rPr>
            </w:pPr>
            <w:r w:rsidRPr="00E47093">
              <w:rPr>
                <w:rFonts w:ascii="Arial" w:hAnsi="Arial" w:cs="Arial"/>
                <w:sz w:val="20"/>
                <w:szCs w:val="20"/>
              </w:rPr>
              <w:br/>
              <w:t xml:space="preserve">Academic integrity is the pursuit of scholarly activity free from fraud and deception and is an educational objective of this institution. Students are expected to adhere to all TAMUS, TAMU, HSC, and School policies regarding academic integrity and classroom conduct.  Academic dishonesty includes, but is not limited to, cheating, plagiarizing, fabricating information or citations, facilitating acts of academic dishonesty by others, having unauthorized possession of examinations, submitting work of another person or work previously used, or tampering with the academic work of another student. Individuals found guilty of academic dishonesty may be dismissed from the degree program, and at a minimum will receive an F for the course. It is the student’s responsibility to have a clear understanding of how to reference other individuals’ work, as well as having a clear understanding in general as to the various aspects of academic dishonesty.  A tutorial on this issue is available at: </w:t>
            </w:r>
            <w:hyperlink r:id="rId20" w:history="1">
              <w:r w:rsidRPr="00E47093">
                <w:rPr>
                  <w:rFonts w:ascii="Arial" w:hAnsi="Arial" w:cs="Arial"/>
                  <w:sz w:val="20"/>
                  <w:szCs w:val="20"/>
                  <w:u w:val="single"/>
                </w:rPr>
                <w:t>http://SPH.tamhsc.edu/academic-affairs/academic-integrity.html</w:t>
              </w:r>
            </w:hyperlink>
            <w:r w:rsidRPr="00E47093">
              <w:rPr>
                <w:rFonts w:ascii="Arial" w:hAnsi="Arial" w:cs="Arial"/>
                <w:sz w:val="20"/>
                <w:szCs w:val="20"/>
              </w:rPr>
              <w:t xml:space="preserve">.  A plagiarism tutorial can be found in Blackboard.  Information on the Aggie Honor Code can be found at </w:t>
            </w:r>
            <w:hyperlink r:id="rId21" w:history="1">
              <w:r w:rsidRPr="00E47093">
                <w:rPr>
                  <w:rStyle w:val="Hyperlink"/>
                  <w:rFonts w:ascii="Arial" w:hAnsi="Arial" w:cs="Arial"/>
                  <w:sz w:val="20"/>
                  <w:szCs w:val="20"/>
                </w:rPr>
                <w:t>http://aggiehonor.tamu.edu</w:t>
              </w:r>
            </w:hyperlink>
            <w:r w:rsidRPr="00E47093">
              <w:rPr>
                <w:rFonts w:ascii="Arial" w:hAnsi="Arial" w:cs="Arial"/>
                <w:sz w:val="20"/>
                <w:szCs w:val="20"/>
              </w:rPr>
              <w:t xml:space="preserve"> .</w:t>
            </w:r>
          </w:p>
          <w:p w14:paraId="37714FCB" w14:textId="77777777" w:rsidR="00E47093" w:rsidRPr="00E47093" w:rsidRDefault="00E47093" w:rsidP="0044236F">
            <w:pPr>
              <w:rPr>
                <w:rFonts w:ascii="Arial" w:hAnsi="Arial" w:cs="Arial"/>
                <w:i/>
                <w:sz w:val="20"/>
                <w:szCs w:val="20"/>
              </w:rPr>
            </w:pPr>
            <w:r w:rsidRPr="00E47093">
              <w:rPr>
                <w:rFonts w:ascii="Arial" w:hAnsi="Arial" w:cs="Arial"/>
                <w:sz w:val="20"/>
                <w:szCs w:val="20"/>
              </w:rPr>
              <w:t>Remember:</w:t>
            </w:r>
            <w:r w:rsidRPr="00E47093">
              <w:rPr>
                <w:rFonts w:ascii="Arial" w:hAnsi="Arial" w:cs="Arial"/>
                <w:sz w:val="20"/>
                <w:szCs w:val="20"/>
              </w:rPr>
              <w:br/>
            </w:r>
            <w:r w:rsidRPr="00E47093">
              <w:rPr>
                <w:rFonts w:ascii="Arial" w:hAnsi="Arial" w:cs="Arial"/>
                <w:i/>
                <w:sz w:val="20"/>
                <w:szCs w:val="20"/>
              </w:rPr>
              <w:t xml:space="preserve"> “An Aggie does not lie, cheat, or steal, or tolerate those who do.”</w:t>
            </w:r>
          </w:p>
          <w:p w14:paraId="110EF9F0" w14:textId="77777777" w:rsidR="00E47093" w:rsidRPr="00E47093" w:rsidRDefault="00E47093" w:rsidP="0044236F">
            <w:pPr>
              <w:rPr>
                <w:rFonts w:ascii="Arial" w:hAnsi="Arial" w:cs="Arial"/>
                <w:i/>
                <w:sz w:val="20"/>
                <w:szCs w:val="20"/>
              </w:rPr>
            </w:pPr>
          </w:p>
          <w:p w14:paraId="069721D7" w14:textId="77777777" w:rsidR="00E47093" w:rsidRPr="00E47093" w:rsidRDefault="00E47093" w:rsidP="0044236F">
            <w:pPr>
              <w:shd w:val="clear" w:color="auto" w:fill="000000"/>
              <w:tabs>
                <w:tab w:val="left" w:pos="90"/>
              </w:tabs>
              <w:autoSpaceDE w:val="0"/>
              <w:autoSpaceDN w:val="0"/>
              <w:adjustRightInd w:val="0"/>
              <w:spacing w:after="190" w:line="318" w:lineRule="atLeast"/>
              <w:ind w:left="-180" w:firstLine="90"/>
              <w:rPr>
                <w:rFonts w:ascii="Arial" w:eastAsia="Cambria" w:hAnsi="Arial" w:cs="Arial"/>
                <w:b/>
                <w:sz w:val="20"/>
                <w:szCs w:val="20"/>
              </w:rPr>
            </w:pPr>
            <w:r w:rsidRPr="00E47093">
              <w:rPr>
                <w:rFonts w:ascii="Arial" w:eastAsia="Cambria" w:hAnsi="Arial" w:cs="Arial"/>
                <w:b/>
                <w:bCs/>
                <w:sz w:val="20"/>
                <w:szCs w:val="20"/>
              </w:rPr>
              <w:t>Copyright Statement</w:t>
            </w:r>
          </w:p>
          <w:p w14:paraId="6EF9EAAD" w14:textId="77777777" w:rsidR="00E47093" w:rsidRPr="00E47093" w:rsidRDefault="00E47093" w:rsidP="0044236F">
            <w:pPr>
              <w:rPr>
                <w:rFonts w:ascii="Arial" w:hAnsi="Arial" w:cs="Arial"/>
                <w:sz w:val="20"/>
                <w:szCs w:val="20"/>
              </w:rPr>
            </w:pPr>
            <w:r w:rsidRPr="00E47093">
              <w:rPr>
                <w:rFonts w:ascii="Arial" w:hAnsi="Arial" w:cs="Arial"/>
                <w:sz w:val="20"/>
                <w:szCs w:val="20"/>
              </w:rPr>
              <w:t>The materials used in this course are copyrighted. These materials include but are not limited to syllabi, quizzes, exams, lab problems, in-class materials, review sheets, and additional problem sets. Because these materials are copyrighted, you do not have the right to copy the handouts, unless permission is expressly granted by the instructor.</w:t>
            </w:r>
          </w:p>
        </w:tc>
      </w:tr>
    </w:tbl>
    <w:p w14:paraId="78A0BFF3" w14:textId="77777777" w:rsidR="00E47093" w:rsidRPr="00E47093" w:rsidRDefault="00E47093" w:rsidP="00E47093">
      <w:pPr>
        <w:rPr>
          <w:rFonts w:ascii="Arial" w:hAnsi="Arial" w:cs="Arial"/>
          <w:sz w:val="20"/>
          <w:szCs w:val="20"/>
        </w:rPr>
      </w:pPr>
    </w:p>
    <w:tbl>
      <w:tblPr>
        <w:tblW w:w="9720" w:type="dxa"/>
        <w:tblInd w:w="-72" w:type="dxa"/>
        <w:tblLayout w:type="fixed"/>
        <w:tblLook w:val="00A0" w:firstRow="1" w:lastRow="0" w:firstColumn="1" w:lastColumn="0" w:noHBand="0" w:noVBand="0"/>
      </w:tblPr>
      <w:tblGrid>
        <w:gridCol w:w="9720"/>
      </w:tblGrid>
      <w:tr w:rsidR="00E47093" w:rsidRPr="00E47093" w14:paraId="3233859B" w14:textId="77777777" w:rsidTr="0044236F">
        <w:tc>
          <w:tcPr>
            <w:tcW w:w="9720" w:type="dxa"/>
            <w:tcBorders>
              <w:top w:val="single" w:sz="4" w:space="0" w:color="auto"/>
              <w:left w:val="single" w:sz="4" w:space="0" w:color="auto"/>
              <w:bottom w:val="single" w:sz="4" w:space="0" w:color="auto"/>
              <w:right w:val="single" w:sz="4" w:space="0" w:color="auto"/>
            </w:tcBorders>
            <w:shd w:val="clear" w:color="auto" w:fill="000000"/>
          </w:tcPr>
          <w:p w14:paraId="49F0B3EE" w14:textId="77777777" w:rsidR="00E47093" w:rsidRPr="00E47093" w:rsidRDefault="00E47093" w:rsidP="0044236F">
            <w:pPr>
              <w:rPr>
                <w:rFonts w:ascii="Arial" w:hAnsi="Arial" w:cs="Arial"/>
                <w:b/>
                <w:sz w:val="20"/>
                <w:szCs w:val="20"/>
              </w:rPr>
            </w:pPr>
            <w:r w:rsidRPr="00E47093">
              <w:rPr>
                <w:rFonts w:ascii="Arial" w:hAnsi="Arial" w:cs="Arial"/>
                <w:b/>
                <w:sz w:val="20"/>
                <w:szCs w:val="20"/>
              </w:rPr>
              <w:t>FERPA</w:t>
            </w:r>
          </w:p>
        </w:tc>
      </w:tr>
    </w:tbl>
    <w:p w14:paraId="7D996478" w14:textId="77777777" w:rsidR="00E47093" w:rsidRPr="00E47093" w:rsidRDefault="00E47093" w:rsidP="00E47093">
      <w:pPr>
        <w:autoSpaceDE w:val="0"/>
        <w:autoSpaceDN w:val="0"/>
        <w:adjustRightInd w:val="0"/>
        <w:spacing w:after="285"/>
        <w:ind w:left="-90"/>
        <w:rPr>
          <w:rFonts w:ascii="Arial" w:eastAsia="Cambria" w:hAnsi="Arial" w:cs="Arial"/>
          <w:sz w:val="20"/>
          <w:szCs w:val="20"/>
        </w:rPr>
      </w:pPr>
      <w:r w:rsidRPr="00E47093">
        <w:rPr>
          <w:rFonts w:ascii="Arial" w:hAnsi="Arial" w:cs="Arial"/>
          <w:sz w:val="20"/>
          <w:szCs w:val="20"/>
        </w:rPr>
        <w:br/>
        <w:t xml:space="preserve">The Federal Education Rights &amp; Privacy Act requires that we advise students that by registering for this course, their HSC assigned e-mail address will be revealed to classmates and the instructor. By continuing your enrollment in the course you acknowledge your understanding of this policy. </w:t>
      </w:r>
      <w:r w:rsidRPr="00E47093">
        <w:rPr>
          <w:rFonts w:ascii="Arial" w:hAnsi="Arial" w:cs="Arial"/>
          <w:sz w:val="20"/>
          <w:szCs w:val="20"/>
        </w:rPr>
        <w:br/>
      </w:r>
      <w:r w:rsidRPr="00E47093">
        <w:rPr>
          <w:rFonts w:ascii="Arial" w:eastAsia="Cambria" w:hAnsi="Arial" w:cs="Arial"/>
          <w:sz w:val="20"/>
          <w:szCs w:val="20"/>
        </w:rPr>
        <w:t xml:space="preserve">By enrolling in this course you agree to the following statement:    “I understand that as a result of registering for this course, my HSC/Blackboard assigned e-mail address will be revealed to classmates and the instructor.” </w:t>
      </w:r>
    </w:p>
    <w:p w14:paraId="00B055A5" w14:textId="77777777" w:rsidR="00E47093" w:rsidRPr="00E47093" w:rsidRDefault="00E47093" w:rsidP="00E47093">
      <w:pPr>
        <w:shd w:val="clear" w:color="auto" w:fill="000000"/>
        <w:tabs>
          <w:tab w:val="left" w:pos="90"/>
        </w:tabs>
        <w:autoSpaceDE w:val="0"/>
        <w:autoSpaceDN w:val="0"/>
        <w:adjustRightInd w:val="0"/>
        <w:spacing w:after="190" w:line="318" w:lineRule="atLeast"/>
        <w:ind w:left="-180" w:firstLine="90"/>
        <w:rPr>
          <w:rFonts w:ascii="Arial" w:eastAsia="Cambria" w:hAnsi="Arial" w:cs="Arial"/>
          <w:b/>
          <w:sz w:val="20"/>
          <w:szCs w:val="20"/>
        </w:rPr>
      </w:pPr>
      <w:r w:rsidRPr="00E47093">
        <w:rPr>
          <w:rFonts w:ascii="Arial" w:eastAsia="Cambria" w:hAnsi="Arial" w:cs="Arial"/>
          <w:b/>
          <w:bCs/>
          <w:sz w:val="20"/>
          <w:szCs w:val="20"/>
        </w:rPr>
        <w:t xml:space="preserve">Equal Opportunity Statement </w:t>
      </w:r>
    </w:p>
    <w:p w14:paraId="07D24CC6" w14:textId="77777777" w:rsidR="00E47093" w:rsidRPr="00E47093" w:rsidRDefault="00E47093" w:rsidP="00E47093">
      <w:pPr>
        <w:autoSpaceDE w:val="0"/>
        <w:autoSpaceDN w:val="0"/>
        <w:adjustRightInd w:val="0"/>
        <w:spacing w:after="285"/>
        <w:ind w:left="-90"/>
        <w:rPr>
          <w:rFonts w:ascii="Arial" w:eastAsia="Cambria" w:hAnsi="Arial" w:cs="Arial"/>
          <w:sz w:val="20"/>
          <w:szCs w:val="20"/>
        </w:rPr>
      </w:pPr>
      <w:r w:rsidRPr="00E47093">
        <w:rPr>
          <w:rFonts w:ascii="Arial" w:eastAsia="Cambria" w:hAnsi="Arial" w:cs="Arial"/>
          <w:sz w:val="20"/>
          <w:szCs w:val="20"/>
        </w:rPr>
        <w:t xml:space="preserve">The Texas A&amp;M Health Science Center is an Equal Opportunity/ Affirmative Action employer. Inquiries regarding nondiscrimination policies may be directed to the Human Resources Officer by phone at (979) 436-9208, email </w:t>
      </w:r>
      <w:r w:rsidRPr="00E47093">
        <w:rPr>
          <w:rFonts w:ascii="Arial" w:eastAsia="Cambria" w:hAnsi="Arial" w:cs="Arial"/>
          <w:sz w:val="20"/>
          <w:szCs w:val="20"/>
          <w:u w:val="single"/>
        </w:rPr>
        <w:t>hr@tamhsc.edu</w:t>
      </w:r>
      <w:r w:rsidRPr="00E47093">
        <w:rPr>
          <w:rFonts w:ascii="Arial" w:eastAsia="Cambria" w:hAnsi="Arial" w:cs="Arial"/>
          <w:sz w:val="20"/>
          <w:szCs w:val="20"/>
        </w:rPr>
        <w:t xml:space="preserve">, or by mail at 200 Technology Way, College Station, TX 77845. </w:t>
      </w:r>
    </w:p>
    <w:p w14:paraId="29D7F364" w14:textId="77777777" w:rsidR="00E47093" w:rsidRPr="00E47093" w:rsidRDefault="00E47093" w:rsidP="00E47093">
      <w:pPr>
        <w:pStyle w:val="Heading4"/>
        <w:pBdr>
          <w:top w:val="single" w:sz="4" w:space="1" w:color="auto"/>
          <w:bottom w:val="single" w:sz="4" w:space="1" w:color="auto"/>
        </w:pBdr>
        <w:shd w:val="clear" w:color="auto" w:fill="000000"/>
        <w:ind w:left="-180" w:firstLine="90"/>
        <w:jc w:val="both"/>
        <w:rPr>
          <w:rFonts w:ascii="Arial" w:hAnsi="Arial" w:cs="Arial"/>
          <w:bCs w:val="0"/>
          <w:sz w:val="20"/>
          <w:szCs w:val="20"/>
        </w:rPr>
      </w:pPr>
      <w:r w:rsidRPr="00E47093">
        <w:rPr>
          <w:rFonts w:ascii="Arial" w:hAnsi="Arial" w:cs="Arial"/>
          <w:bCs w:val="0"/>
          <w:sz w:val="20"/>
          <w:szCs w:val="20"/>
        </w:rPr>
        <w:t>DISCLAIMER</w:t>
      </w:r>
    </w:p>
    <w:p w14:paraId="5CA10FCB" w14:textId="77777777" w:rsidR="00E47093" w:rsidRPr="00E47093" w:rsidRDefault="00E47093" w:rsidP="00E47093">
      <w:pPr>
        <w:rPr>
          <w:rFonts w:ascii="Arial" w:hAnsi="Arial" w:cs="Arial"/>
          <w:sz w:val="20"/>
          <w:szCs w:val="20"/>
        </w:rPr>
      </w:pPr>
    </w:p>
    <w:p w14:paraId="29E7B361" w14:textId="77777777" w:rsidR="00E47093" w:rsidRPr="00E47093" w:rsidRDefault="00E47093" w:rsidP="00E47093">
      <w:pPr>
        <w:ind w:left="-90"/>
        <w:rPr>
          <w:rFonts w:ascii="Arial" w:hAnsi="Arial" w:cs="Arial"/>
          <w:sz w:val="20"/>
          <w:szCs w:val="20"/>
        </w:rPr>
      </w:pPr>
      <w:r w:rsidRPr="00E47093">
        <w:rPr>
          <w:rFonts w:ascii="Arial" w:hAnsi="Arial" w:cs="Arial"/>
          <w:sz w:val="20"/>
          <w:szCs w:val="20"/>
        </w:rPr>
        <w:t>This syllabus is representative of materials that will be covered in this class; the schedule and topics list are subject to change.  These changes will be discussed in class and subsequently communicated via email or posted as announcements.  If you have any problems related to this course, please feel free to discuss them with the instructor.</w:t>
      </w:r>
    </w:p>
    <w:p w14:paraId="38D95D1E" w14:textId="77777777" w:rsidR="00E47093" w:rsidRPr="00E47093" w:rsidRDefault="00E47093" w:rsidP="00E47093">
      <w:pPr>
        <w:pStyle w:val="Heading4"/>
        <w:pBdr>
          <w:top w:val="single" w:sz="4" w:space="1" w:color="auto"/>
          <w:bottom w:val="single" w:sz="4" w:space="1" w:color="auto"/>
        </w:pBdr>
        <w:shd w:val="clear" w:color="auto" w:fill="000000"/>
        <w:ind w:left="-180" w:firstLine="90"/>
        <w:jc w:val="both"/>
        <w:rPr>
          <w:rFonts w:ascii="Arial" w:hAnsi="Arial" w:cs="Arial"/>
          <w:bCs w:val="0"/>
          <w:sz w:val="20"/>
          <w:szCs w:val="20"/>
        </w:rPr>
      </w:pPr>
      <w:r w:rsidRPr="00E47093">
        <w:rPr>
          <w:rFonts w:ascii="Arial" w:hAnsi="Arial" w:cs="Arial"/>
          <w:bCs w:val="0"/>
          <w:sz w:val="20"/>
          <w:szCs w:val="20"/>
        </w:rPr>
        <w:lastRenderedPageBreak/>
        <w:t>Title IX</w:t>
      </w:r>
    </w:p>
    <w:p w14:paraId="05D60951" w14:textId="77777777" w:rsidR="00E47093" w:rsidRPr="00E47093" w:rsidRDefault="00E47093" w:rsidP="00E47093">
      <w:pPr>
        <w:spacing w:before="100" w:beforeAutospacing="1" w:after="100" w:afterAutospacing="1"/>
        <w:ind w:left="-90"/>
        <w:rPr>
          <w:rFonts w:ascii="Arial" w:eastAsia="MS Mincho" w:hAnsi="Arial" w:cs="Arial"/>
          <w:sz w:val="20"/>
          <w:szCs w:val="20"/>
        </w:rPr>
      </w:pPr>
      <w:r w:rsidRPr="00E47093">
        <w:rPr>
          <w:rFonts w:ascii="Arial" w:eastAsia="MS Mincho" w:hAnsi="Arial" w:cs="Arial"/>
          <w:sz w:val="20"/>
          <w:szCs w:val="20"/>
        </w:rPr>
        <w:t>Title IX of the Education Amendments of 1972 protects people from sex discrimination in educational programs and activities at institutions that receive federal financial assistance.  Texas A&amp;M University and the Texas A&amp;M Health Science Center are committed to maintaining a learning environment that is free from discriminatory conduct based on gender. As required by Title IX, the University does not discriminate on the basis of sex in its education programs and activities, and it encourages any student or non-student who thinks that he or she has been subjected to sex discrimination, sexual harassment (including sexual violence) or sexual misconduct by another student, member of the faculty or staff, or campus visitor or contractor, to immediately report the incident to any of the individuals persons or offices listed below.</w:t>
      </w:r>
    </w:p>
    <w:p w14:paraId="7F300B7D" w14:textId="77777777" w:rsidR="00E47093" w:rsidRPr="00E47093" w:rsidRDefault="00E47093" w:rsidP="00E47093">
      <w:pPr>
        <w:rPr>
          <w:rFonts w:ascii="Arial" w:eastAsia="MS Mincho" w:hAnsi="Arial" w:cs="Arial"/>
          <w:sz w:val="20"/>
          <w:szCs w:val="20"/>
        </w:rPr>
      </w:pPr>
      <w:r w:rsidRPr="00E47093">
        <w:rPr>
          <w:rFonts w:ascii="Arial" w:eastAsia="MS Mincho" w:hAnsi="Arial" w:cs="Arial"/>
          <w:bCs/>
          <w:sz w:val="20"/>
          <w:szCs w:val="20"/>
        </w:rPr>
        <w:t>WHERE TO REPORT:</w:t>
      </w:r>
    </w:p>
    <w:p w14:paraId="7135BAE9"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Dr. Blanca Lupiani</w:t>
      </w:r>
    </w:p>
    <w:p w14:paraId="35506A44"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Executive Assoc. Dean of Faculties</w:t>
      </w:r>
    </w:p>
    <w:p w14:paraId="690982A6"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108 YMCA Building</w:t>
      </w:r>
    </w:p>
    <w:p w14:paraId="2CE6133E"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College Station, TX</w:t>
      </w:r>
    </w:p>
    <w:p w14:paraId="117CEB72"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77843-1126</w:t>
      </w:r>
    </w:p>
    <w:p w14:paraId="0061378E"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Mail Stop 1126</w:t>
      </w:r>
    </w:p>
    <w:p w14:paraId="2C9CEC79"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dof@tamu.edu</w:t>
      </w:r>
    </w:p>
    <w:p w14:paraId="1B28A60B" w14:textId="77777777" w:rsidR="00E47093" w:rsidRPr="00E47093" w:rsidRDefault="00E47093" w:rsidP="00E47093">
      <w:pPr>
        <w:widowControl w:val="0"/>
        <w:autoSpaceDE w:val="0"/>
        <w:autoSpaceDN w:val="0"/>
        <w:adjustRightInd w:val="0"/>
        <w:rPr>
          <w:rFonts w:ascii="Arial" w:eastAsia="MS Mincho" w:hAnsi="Arial" w:cs="Arial"/>
          <w:sz w:val="20"/>
          <w:szCs w:val="20"/>
        </w:rPr>
      </w:pPr>
      <w:r w:rsidRPr="00E47093">
        <w:rPr>
          <w:rFonts w:ascii="Arial" w:eastAsia="MS Mincho" w:hAnsi="Arial" w:cs="Arial"/>
          <w:sz w:val="20"/>
          <w:szCs w:val="20"/>
        </w:rPr>
        <w:t>979-845-4274</w:t>
      </w:r>
    </w:p>
    <w:p w14:paraId="0176ABD2" w14:textId="77777777" w:rsidR="00E47093" w:rsidRPr="00E47093" w:rsidRDefault="00E47093" w:rsidP="00E47093">
      <w:pPr>
        <w:widowControl w:val="0"/>
        <w:autoSpaceDE w:val="0"/>
        <w:autoSpaceDN w:val="0"/>
        <w:adjustRightInd w:val="0"/>
        <w:rPr>
          <w:rFonts w:ascii="Arial" w:eastAsia="MS Mincho" w:hAnsi="Arial" w:cs="Arial"/>
          <w:sz w:val="20"/>
          <w:szCs w:val="20"/>
        </w:rPr>
      </w:pPr>
    </w:p>
    <w:p w14:paraId="40AA5721" w14:textId="77777777" w:rsidR="00E47093" w:rsidRPr="00E47093" w:rsidRDefault="00E47093" w:rsidP="00E47093">
      <w:pPr>
        <w:rPr>
          <w:rFonts w:ascii="Arial" w:eastAsia="MS Mincho" w:hAnsi="Arial" w:cs="Arial"/>
          <w:sz w:val="20"/>
          <w:szCs w:val="20"/>
        </w:rPr>
      </w:pPr>
      <w:r w:rsidRPr="00E47093">
        <w:rPr>
          <w:rFonts w:ascii="Arial" w:eastAsia="MS Mincho" w:hAnsi="Arial" w:cs="Arial"/>
          <w:sz w:val="20"/>
          <w:szCs w:val="20"/>
        </w:rPr>
        <w:t>The University encourages students to immediately consult with or report incidents of sex discrimination, sexual harassment (including sexual violence) or sexual misconduct to the TAMHSC Title IX Coordinator.  Students may also report incidents of sex discrimination, sexual harassment (including sexual violence) or sexual misconduct to any School of Public Health administrator, university administrator, official or unit supervisor, who is then responsible for promptly notifying any of the above Title IX coordinators of the reported incident.</w:t>
      </w:r>
    </w:p>
    <w:p w14:paraId="61DD5D89" w14:textId="77777777" w:rsidR="00E47093" w:rsidRPr="00537EEE" w:rsidRDefault="00E47093" w:rsidP="00E47093">
      <w:pPr>
        <w:rPr>
          <w:rFonts w:asciiTheme="minorHAnsi" w:eastAsia="MS Mincho" w:hAnsiTheme="minorHAnsi" w:cstheme="minorHAnsi"/>
          <w:sz w:val="20"/>
          <w:szCs w:val="20"/>
        </w:rPr>
      </w:pPr>
    </w:p>
    <w:p w14:paraId="045A4031" w14:textId="240CEFEF" w:rsidR="00E47093" w:rsidRDefault="00E47093" w:rsidP="00E47093">
      <w:pPr>
        <w:rPr>
          <w:rFonts w:asciiTheme="minorHAnsi" w:eastAsia="MS Mincho" w:hAnsiTheme="minorHAnsi" w:cstheme="minorHAnsi"/>
          <w:sz w:val="20"/>
          <w:szCs w:val="20"/>
        </w:rPr>
      </w:pPr>
    </w:p>
    <w:p w14:paraId="1F5D6949" w14:textId="48817D24" w:rsidR="00911B4D" w:rsidRDefault="00911B4D" w:rsidP="00E47093">
      <w:pPr>
        <w:rPr>
          <w:rFonts w:asciiTheme="minorHAnsi" w:eastAsia="MS Mincho" w:hAnsiTheme="minorHAnsi" w:cstheme="minorHAnsi"/>
          <w:sz w:val="20"/>
          <w:szCs w:val="20"/>
        </w:rPr>
      </w:pPr>
    </w:p>
    <w:p w14:paraId="2AAAB4CE" w14:textId="105F5B5D" w:rsidR="001C3C8D" w:rsidRDefault="001C3C8D" w:rsidP="00E47093">
      <w:pPr>
        <w:rPr>
          <w:rFonts w:asciiTheme="minorHAnsi" w:eastAsia="MS Mincho" w:hAnsiTheme="minorHAnsi" w:cstheme="minorHAnsi"/>
          <w:sz w:val="20"/>
          <w:szCs w:val="20"/>
        </w:rPr>
      </w:pPr>
    </w:p>
    <w:p w14:paraId="3540C8F7" w14:textId="0ABD61B0" w:rsidR="001C3C8D" w:rsidRDefault="001C3C8D" w:rsidP="00E47093">
      <w:pPr>
        <w:rPr>
          <w:rFonts w:asciiTheme="minorHAnsi" w:eastAsia="MS Mincho" w:hAnsiTheme="minorHAnsi" w:cstheme="minorHAnsi"/>
          <w:sz w:val="20"/>
          <w:szCs w:val="20"/>
        </w:rPr>
      </w:pPr>
    </w:p>
    <w:p w14:paraId="1E594F97" w14:textId="02C33F0B" w:rsidR="001C3C8D" w:rsidRDefault="001C3C8D" w:rsidP="00E47093">
      <w:pPr>
        <w:rPr>
          <w:rFonts w:asciiTheme="minorHAnsi" w:eastAsia="MS Mincho" w:hAnsiTheme="minorHAnsi" w:cstheme="minorHAnsi"/>
          <w:sz w:val="20"/>
          <w:szCs w:val="20"/>
        </w:rPr>
      </w:pPr>
    </w:p>
    <w:p w14:paraId="17562ACB" w14:textId="77777777" w:rsidR="001C3C8D" w:rsidRPr="00537EEE" w:rsidRDefault="001C3C8D" w:rsidP="00E47093">
      <w:pPr>
        <w:rPr>
          <w:rFonts w:asciiTheme="minorHAnsi" w:eastAsia="MS Mincho" w:hAnsiTheme="minorHAnsi" w:cstheme="minorHAnsi"/>
          <w:sz w:val="20"/>
          <w:szCs w:val="20"/>
        </w:rPr>
        <w:sectPr w:rsidR="001C3C8D" w:rsidRPr="00537EEE" w:rsidSect="0044236F">
          <w:pgSz w:w="12240" w:h="15840" w:code="1"/>
          <w:pgMar w:top="1080" w:right="1440" w:bottom="1080" w:left="1440" w:header="432" w:footer="432" w:gutter="0"/>
          <w:cols w:space="720"/>
        </w:sectPr>
      </w:pPr>
    </w:p>
    <w:tbl>
      <w:tblPr>
        <w:tblStyle w:val="TableGrid"/>
        <w:tblW w:w="0" w:type="auto"/>
        <w:tblInd w:w="-612" w:type="dxa"/>
        <w:shd w:val="clear" w:color="auto" w:fill="000000" w:themeFill="text1"/>
        <w:tblLook w:val="04A0" w:firstRow="1" w:lastRow="0" w:firstColumn="1" w:lastColumn="0" w:noHBand="0" w:noVBand="1"/>
      </w:tblPr>
      <w:tblGrid>
        <w:gridCol w:w="9350"/>
      </w:tblGrid>
      <w:tr w:rsidR="00E47093" w:rsidRPr="00537EEE" w14:paraId="37B04DDF" w14:textId="77777777" w:rsidTr="0044236F">
        <w:tc>
          <w:tcPr>
            <w:tcW w:w="9350" w:type="dxa"/>
            <w:shd w:val="clear" w:color="auto" w:fill="000000" w:themeFill="text1"/>
          </w:tcPr>
          <w:p w14:paraId="155D4F1A" w14:textId="77777777" w:rsidR="00E47093" w:rsidRPr="00537EEE" w:rsidRDefault="00E47093" w:rsidP="0044236F">
            <w:pPr>
              <w:rPr>
                <w:rFonts w:asciiTheme="minorHAnsi" w:hAnsiTheme="minorHAnsi" w:cstheme="minorHAnsi"/>
                <w:b/>
                <w:color w:val="FFFFFF" w:themeColor="background1"/>
              </w:rPr>
            </w:pPr>
            <w:r w:rsidRPr="00537EEE">
              <w:rPr>
                <w:rFonts w:asciiTheme="minorHAnsi" w:hAnsiTheme="minorHAnsi" w:cstheme="minorHAnsi"/>
                <w:b/>
                <w:color w:val="FFFFFF" w:themeColor="background1"/>
              </w:rPr>
              <w:lastRenderedPageBreak/>
              <w:t>APPENDIX</w:t>
            </w:r>
            <w:r>
              <w:rPr>
                <w:rFonts w:asciiTheme="minorHAnsi" w:hAnsiTheme="minorHAnsi" w:cstheme="minorHAnsi"/>
                <w:b/>
                <w:color w:val="FFFFFF" w:themeColor="background1"/>
              </w:rPr>
              <w:t xml:space="preserve"> A</w:t>
            </w:r>
            <w:r w:rsidRPr="00537EEE">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 xml:space="preserve">SCHOOL OF PUBLIC HEALTH </w:t>
            </w:r>
            <w:r w:rsidRPr="00537EEE">
              <w:rPr>
                <w:rFonts w:asciiTheme="minorHAnsi" w:hAnsiTheme="minorHAnsi" w:cstheme="minorHAnsi"/>
                <w:b/>
                <w:color w:val="FFFFFF" w:themeColor="background1"/>
              </w:rPr>
              <w:t>COMPETENCIES</w:t>
            </w:r>
          </w:p>
        </w:tc>
      </w:tr>
    </w:tbl>
    <w:p w14:paraId="01A82B0C" w14:textId="77777777" w:rsidR="00E47093" w:rsidRPr="00537EEE" w:rsidRDefault="00E47093" w:rsidP="00E47093">
      <w:pPr>
        <w:pStyle w:val="ListParagraph"/>
        <w:numPr>
          <w:ilvl w:val="1"/>
          <w:numId w:val="19"/>
        </w:numPr>
        <w:spacing w:after="0" w:line="240" w:lineRule="auto"/>
        <w:ind w:left="-360"/>
        <w:rPr>
          <w:rFonts w:asciiTheme="minorHAnsi" w:hAnsiTheme="minorHAnsi" w:cstheme="minorHAnsi"/>
          <w:b/>
          <w:i/>
          <w:color w:val="000000" w:themeColor="text1"/>
          <w:sz w:val="24"/>
        </w:rPr>
      </w:pPr>
      <w:r w:rsidRPr="00537EEE">
        <w:rPr>
          <w:rFonts w:asciiTheme="minorHAnsi" w:hAnsiTheme="minorHAnsi" w:cstheme="minorHAnsi"/>
          <w:b/>
          <w:i/>
          <w:color w:val="000000" w:themeColor="text1"/>
          <w:sz w:val="24"/>
        </w:rPr>
        <w:t>Council on Education for Public Health (CEPH)</w:t>
      </w:r>
    </w:p>
    <w:p w14:paraId="2B882654" w14:textId="77777777" w:rsidR="00E47093" w:rsidRPr="00537EEE" w:rsidRDefault="00E47093" w:rsidP="00E47093">
      <w:pPr>
        <w:pStyle w:val="ListParagraph"/>
        <w:ind w:left="270" w:hanging="270"/>
        <w:rPr>
          <w:rFonts w:asciiTheme="minorHAnsi" w:hAnsiTheme="minorHAnsi" w:cstheme="minorHAnsi"/>
          <w:b/>
          <w:i/>
          <w:color w:val="000000" w:themeColor="text1"/>
          <w:sz w:val="24"/>
        </w:rPr>
      </w:pPr>
    </w:p>
    <w:p w14:paraId="21333C7C" w14:textId="77777777" w:rsidR="00E47093" w:rsidRPr="00537EEE" w:rsidRDefault="00E47093" w:rsidP="00E47093">
      <w:pPr>
        <w:rPr>
          <w:rFonts w:asciiTheme="minorHAnsi" w:hAnsiTheme="minorHAnsi" w:cstheme="minorHAnsi"/>
          <w:b/>
          <w:u w:val="single"/>
        </w:rPr>
        <w:sectPr w:rsidR="00E47093" w:rsidRPr="00537EEE" w:rsidSect="0044236F">
          <w:headerReference w:type="default" r:id="rId22"/>
          <w:footerReference w:type="even" r:id="rId23"/>
          <w:footerReference w:type="default" r:id="rId24"/>
          <w:pgSz w:w="12240" w:h="15840" w:code="1"/>
          <w:pgMar w:top="1080" w:right="1440" w:bottom="1080" w:left="1440" w:header="432" w:footer="432" w:gutter="0"/>
          <w:cols w:space="720"/>
        </w:sectPr>
      </w:pPr>
    </w:p>
    <w:p w14:paraId="45A42977"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u w:val="single"/>
        </w:rPr>
        <w:t>D1. MPH &amp; DrPH Foundational Public Health Knowledge</w:t>
      </w:r>
      <w:r w:rsidRPr="00537EEE">
        <w:rPr>
          <w:rFonts w:asciiTheme="minorHAnsi" w:hAnsiTheme="minorHAnsi" w:cstheme="minorHAnsi"/>
          <w:sz w:val="18"/>
        </w:rPr>
        <w:t xml:space="preserve"> </w:t>
      </w:r>
    </w:p>
    <w:p w14:paraId="45D79634" w14:textId="77777777" w:rsidR="00E47093" w:rsidRPr="00537EEE" w:rsidRDefault="00E47093" w:rsidP="00E47093">
      <w:pPr>
        <w:rPr>
          <w:rFonts w:asciiTheme="minorHAnsi" w:hAnsiTheme="minorHAnsi" w:cstheme="minorHAnsi"/>
          <w:b/>
          <w:sz w:val="18"/>
        </w:rPr>
      </w:pPr>
    </w:p>
    <w:p w14:paraId="7AAA347C"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rPr>
        <w:t>Profession &amp; Science of Public Health</w:t>
      </w:r>
    </w:p>
    <w:p w14:paraId="6EAC72F4"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 Explain public health history, philosophy and values</w:t>
      </w:r>
    </w:p>
    <w:p w14:paraId="68C2E8DC"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D1.2. Identify the core functions of public health and the 10 Essential Services</w:t>
      </w:r>
    </w:p>
    <w:p w14:paraId="186C2142"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D1.3. Explain the role of quantitative and qualitative methods and sciences in describing and assessing a population’s health </w:t>
      </w:r>
    </w:p>
    <w:p w14:paraId="07449295"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D1.4. List major causes and trends of morbidity and mortality in the US or other community relevant to the school or program</w:t>
      </w:r>
    </w:p>
    <w:p w14:paraId="6CB81B0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D1.5. Discuss the science of primary, secondary and tertiary prevention in population health, including health promotion, screening, etc.</w:t>
      </w:r>
    </w:p>
    <w:p w14:paraId="6DF268AF"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D1.6. Explain the critical importance of evidence in advancing public health knowledge</w:t>
      </w:r>
    </w:p>
    <w:p w14:paraId="07A6ECCD" w14:textId="77777777" w:rsidR="00E47093" w:rsidRPr="00537EEE" w:rsidRDefault="00E47093" w:rsidP="00E47093">
      <w:pPr>
        <w:rPr>
          <w:rFonts w:asciiTheme="minorHAnsi" w:hAnsiTheme="minorHAnsi" w:cstheme="minorHAnsi"/>
          <w:sz w:val="18"/>
        </w:rPr>
      </w:pPr>
    </w:p>
    <w:p w14:paraId="29D72541"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rPr>
        <w:t>Factors Related to Human Health</w:t>
      </w:r>
    </w:p>
    <w:p w14:paraId="3DBCEB9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D1.7. Explain effects of environmental factors on a population’s health</w:t>
      </w:r>
    </w:p>
    <w:p w14:paraId="13A76D9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D1.8. Explain biological and genetic factors that affect a population’s health</w:t>
      </w:r>
    </w:p>
    <w:p w14:paraId="1924940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D1.9. Explain behavioral and psychological factors that affect a population’s health</w:t>
      </w:r>
    </w:p>
    <w:p w14:paraId="2B5067C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D1.10. Explain the social, political and economic determinants of health and how they contribute to population health and health inequities</w:t>
      </w:r>
    </w:p>
    <w:p w14:paraId="46AAFC56"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D1.11. Explain how globalization affects global burdens of disease</w:t>
      </w:r>
    </w:p>
    <w:p w14:paraId="289F596B"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D1.12. Explain an ecological perspective on the connections among human health, animal health and ecosystem health (e.g., One Health)</w:t>
      </w:r>
    </w:p>
    <w:p w14:paraId="0436201D" w14:textId="77777777" w:rsidR="00E47093" w:rsidRPr="00537EEE" w:rsidRDefault="00E47093" w:rsidP="00E47093">
      <w:pPr>
        <w:rPr>
          <w:rFonts w:asciiTheme="minorHAnsi" w:hAnsiTheme="minorHAnsi" w:cstheme="minorHAnsi"/>
          <w:sz w:val="18"/>
        </w:rPr>
      </w:pPr>
    </w:p>
    <w:p w14:paraId="2B7A9B87"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b/>
          <w:sz w:val="18"/>
          <w:u w:val="single"/>
        </w:rPr>
        <w:t>D2. MPH Foundational Competencies</w:t>
      </w:r>
      <w:r w:rsidRPr="00537EEE">
        <w:rPr>
          <w:rFonts w:asciiTheme="minorHAnsi" w:hAnsiTheme="minorHAnsi" w:cstheme="minorHAnsi"/>
          <w:sz w:val="18"/>
        </w:rPr>
        <w:t xml:space="preserve"> </w:t>
      </w:r>
    </w:p>
    <w:p w14:paraId="19AD5D37" w14:textId="77777777" w:rsidR="00E47093" w:rsidRPr="00537EEE" w:rsidRDefault="00E47093" w:rsidP="00E47093">
      <w:pPr>
        <w:rPr>
          <w:rFonts w:asciiTheme="minorHAnsi" w:hAnsiTheme="minorHAnsi" w:cstheme="minorHAnsi"/>
          <w:sz w:val="18"/>
        </w:rPr>
      </w:pPr>
    </w:p>
    <w:p w14:paraId="2ADDD249" w14:textId="77777777" w:rsidR="00E47093" w:rsidRPr="00537EEE" w:rsidRDefault="00E47093" w:rsidP="00E47093">
      <w:pPr>
        <w:rPr>
          <w:rFonts w:asciiTheme="minorHAnsi" w:hAnsiTheme="minorHAnsi" w:cstheme="minorHAnsi"/>
          <w:b/>
          <w:sz w:val="18"/>
        </w:rPr>
      </w:pPr>
      <w:r w:rsidRPr="00537EEE">
        <w:rPr>
          <w:rFonts w:asciiTheme="minorHAnsi" w:hAnsiTheme="minorHAnsi" w:cstheme="minorHAnsi"/>
          <w:b/>
          <w:sz w:val="18"/>
        </w:rPr>
        <w:t xml:space="preserve">Evidence-based Approaches to Public Health </w:t>
      </w:r>
    </w:p>
    <w:p w14:paraId="1AD9030D"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D2.1. Apply epidemiological methods to the breadth of settings and situations in public health practice </w:t>
      </w:r>
    </w:p>
    <w:p w14:paraId="1256DCF9"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D2.2. Select quantitative and qualitative data collection methods appropriate for a given public health context </w:t>
      </w:r>
    </w:p>
    <w:p w14:paraId="2967E85E"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D2.3. Analyze quantitative and qualitative data using biostatistics, informatics, computer-based programming and software, as appropriate </w:t>
      </w:r>
    </w:p>
    <w:p w14:paraId="124A2290" w14:textId="77777777" w:rsidR="00E47093" w:rsidRPr="00537EEE" w:rsidRDefault="00E47093" w:rsidP="00E47093">
      <w:pPr>
        <w:rPr>
          <w:rFonts w:asciiTheme="minorHAnsi" w:hAnsiTheme="minorHAnsi" w:cstheme="minorHAnsi"/>
          <w:sz w:val="18"/>
        </w:rPr>
      </w:pPr>
      <w:r w:rsidRPr="00537EEE">
        <w:rPr>
          <w:rFonts w:asciiTheme="minorHAnsi" w:hAnsiTheme="minorHAnsi" w:cstheme="minorHAnsi"/>
          <w:sz w:val="18"/>
        </w:rPr>
        <w:t xml:space="preserve">D2.4. Interpret results of data analysis for public health research, policy or practice </w:t>
      </w:r>
    </w:p>
    <w:p w14:paraId="411C9B92" w14:textId="77777777" w:rsidR="00E47093" w:rsidRPr="00537EEE" w:rsidRDefault="00E47093" w:rsidP="00E47093">
      <w:pPr>
        <w:rPr>
          <w:rFonts w:asciiTheme="minorHAnsi" w:hAnsiTheme="minorHAnsi" w:cstheme="minorHAnsi"/>
          <w:sz w:val="18"/>
        </w:rPr>
      </w:pPr>
    </w:p>
    <w:p w14:paraId="0188FECB" w14:textId="77777777" w:rsidR="00E47093" w:rsidRPr="00537EEE" w:rsidRDefault="00E47093" w:rsidP="00E47093">
      <w:pPr>
        <w:rPr>
          <w:rFonts w:asciiTheme="minorHAnsi" w:hAnsiTheme="minorHAnsi" w:cstheme="minorHAnsi"/>
          <w:b/>
          <w:sz w:val="18"/>
        </w:rPr>
      </w:pPr>
      <w:r w:rsidRPr="00537EEE">
        <w:rPr>
          <w:rFonts w:asciiTheme="minorHAnsi" w:hAnsiTheme="minorHAnsi" w:cstheme="minorHAnsi"/>
          <w:b/>
          <w:sz w:val="18"/>
        </w:rPr>
        <w:t xml:space="preserve">Public Health &amp; Health Care Systems </w:t>
      </w:r>
    </w:p>
    <w:p w14:paraId="7FA3618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rPr>
        <w:t xml:space="preserve">D2.5. Compare the organization, structure and function of health care, public health and regulatory systems across national and </w:t>
      </w:r>
      <w:r w:rsidRPr="00537EEE">
        <w:rPr>
          <w:rFonts w:asciiTheme="minorHAnsi" w:hAnsiTheme="minorHAnsi" w:cstheme="minorHAnsi"/>
          <w:sz w:val="18"/>
          <w:szCs w:val="18"/>
        </w:rPr>
        <w:t xml:space="preserve">international settings </w:t>
      </w:r>
    </w:p>
    <w:p w14:paraId="39E233B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D2.6. Discuss the means by which structural bias, social inequities and racism undermine health and create challenges to achieving health equity at organizational, community and societal levels</w:t>
      </w:r>
    </w:p>
    <w:p w14:paraId="35E6E29A" w14:textId="77777777" w:rsidR="00E47093" w:rsidRPr="00537EEE" w:rsidRDefault="00E47093" w:rsidP="00E47093">
      <w:pPr>
        <w:rPr>
          <w:rFonts w:asciiTheme="minorHAnsi" w:hAnsiTheme="minorHAnsi" w:cstheme="minorHAnsi"/>
          <w:sz w:val="18"/>
          <w:szCs w:val="18"/>
        </w:rPr>
      </w:pPr>
    </w:p>
    <w:p w14:paraId="758FEFBB"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rPr>
        <w:t>Planning &amp; Management to Promote Health</w:t>
      </w:r>
      <w:r w:rsidRPr="00537EEE">
        <w:rPr>
          <w:rFonts w:asciiTheme="minorHAnsi" w:hAnsiTheme="minorHAnsi" w:cstheme="minorHAnsi"/>
          <w:sz w:val="18"/>
          <w:szCs w:val="18"/>
        </w:rPr>
        <w:t xml:space="preserve"> </w:t>
      </w:r>
    </w:p>
    <w:p w14:paraId="2DECC53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D2.7. Assess population needs, assets and capacities that affect communities’ health </w:t>
      </w:r>
    </w:p>
    <w:p w14:paraId="6F5647D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D2.8. Apply awareness of cultural values and practices to the design or implementation of public health policies or programs </w:t>
      </w:r>
    </w:p>
    <w:p w14:paraId="5C0FB94F"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D2.9. Design a population-based policy, program, project or intervention </w:t>
      </w:r>
    </w:p>
    <w:p w14:paraId="6244E53D"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D2.10. Explain basic principles and tools of budget and resource management </w:t>
      </w:r>
    </w:p>
    <w:p w14:paraId="081B3153"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D2.11. Select methods to evaluate public health programs </w:t>
      </w:r>
    </w:p>
    <w:p w14:paraId="164000AA" w14:textId="77777777" w:rsidR="00E47093" w:rsidRPr="00537EEE" w:rsidRDefault="00E47093" w:rsidP="00E47093">
      <w:pPr>
        <w:rPr>
          <w:rFonts w:asciiTheme="minorHAnsi" w:hAnsiTheme="minorHAnsi" w:cstheme="minorHAnsi"/>
          <w:sz w:val="18"/>
          <w:szCs w:val="18"/>
        </w:rPr>
      </w:pPr>
    </w:p>
    <w:p w14:paraId="3066467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rPr>
        <w:t>Policy in Public Health</w:t>
      </w:r>
      <w:r w:rsidRPr="00537EEE">
        <w:rPr>
          <w:rFonts w:asciiTheme="minorHAnsi" w:hAnsiTheme="minorHAnsi" w:cstheme="minorHAnsi"/>
          <w:sz w:val="18"/>
          <w:szCs w:val="18"/>
        </w:rPr>
        <w:t xml:space="preserve"> </w:t>
      </w:r>
    </w:p>
    <w:p w14:paraId="5EAADCE2"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D2.12. Discuss multiple dimensions of the policy-making process, including the roles of ethics and evidence </w:t>
      </w:r>
    </w:p>
    <w:p w14:paraId="5BE8C223"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D2.13. Propose strategies to identify stakeholders and build coalitions and partnerships for influencing public health outcomes </w:t>
      </w:r>
    </w:p>
    <w:p w14:paraId="0B6C921C"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D2.14. Advocate for political, social or economic policies and programs that will improve health in diverse populations </w:t>
      </w:r>
    </w:p>
    <w:p w14:paraId="5F2DE40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D2.15. Evaluate policies for their impact on public health and health equity</w:t>
      </w:r>
    </w:p>
    <w:p w14:paraId="7E91F905" w14:textId="77777777" w:rsidR="00E47093" w:rsidRPr="00537EEE" w:rsidRDefault="00E47093" w:rsidP="00E47093">
      <w:pPr>
        <w:rPr>
          <w:rFonts w:asciiTheme="minorHAnsi" w:hAnsiTheme="minorHAnsi" w:cstheme="minorHAnsi"/>
          <w:sz w:val="18"/>
          <w:szCs w:val="18"/>
        </w:rPr>
      </w:pPr>
    </w:p>
    <w:p w14:paraId="410B2728"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Leadership </w:t>
      </w:r>
    </w:p>
    <w:p w14:paraId="63EA0A90"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D2.16. Apply principles of leadership, governance and management, which include creating a vision, empowering others, fostering collaboration and guiding decision making </w:t>
      </w:r>
    </w:p>
    <w:p w14:paraId="24A418C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D2.17. Apply negotiation and mediation skills to address organizational or community challenges</w:t>
      </w:r>
    </w:p>
    <w:p w14:paraId="46570AF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 </w:t>
      </w:r>
    </w:p>
    <w:p w14:paraId="144C97ED"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Communication </w:t>
      </w:r>
    </w:p>
    <w:p w14:paraId="596D0BAE"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D2.18. Select communication strategies for different audiences and sectors </w:t>
      </w:r>
    </w:p>
    <w:p w14:paraId="4765EEF9"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D2.19. Communicate audience-appropriate public health content, both in writing and through oral presentation</w:t>
      </w:r>
    </w:p>
    <w:p w14:paraId="2C8D9B5A"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D2.20. Describe the importance of cultural competence in communicating public health content </w:t>
      </w:r>
    </w:p>
    <w:p w14:paraId="4F8D9DD1" w14:textId="77777777" w:rsidR="00E47093" w:rsidRPr="00537EEE" w:rsidRDefault="00E47093" w:rsidP="00E47093">
      <w:pPr>
        <w:rPr>
          <w:rFonts w:asciiTheme="minorHAnsi" w:hAnsiTheme="minorHAnsi" w:cstheme="minorHAnsi"/>
          <w:sz w:val="18"/>
          <w:szCs w:val="18"/>
        </w:rPr>
      </w:pPr>
    </w:p>
    <w:p w14:paraId="06EC37C4"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Interprofessional Practice </w:t>
      </w:r>
    </w:p>
    <w:p w14:paraId="2F240FB4"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 xml:space="preserve">D2.21. Perform effectively on interprofessional teams </w:t>
      </w:r>
    </w:p>
    <w:p w14:paraId="157B3A65" w14:textId="77777777" w:rsidR="00E47093" w:rsidRPr="00537EEE" w:rsidRDefault="00E47093" w:rsidP="00E47093">
      <w:pPr>
        <w:rPr>
          <w:rFonts w:asciiTheme="minorHAnsi" w:hAnsiTheme="minorHAnsi" w:cstheme="minorHAnsi"/>
          <w:sz w:val="18"/>
          <w:szCs w:val="18"/>
        </w:rPr>
      </w:pPr>
    </w:p>
    <w:p w14:paraId="337BEB8A" w14:textId="77777777" w:rsidR="00E47093" w:rsidRPr="00537EEE" w:rsidRDefault="00E47093" w:rsidP="00E47093">
      <w:pPr>
        <w:rPr>
          <w:rFonts w:asciiTheme="minorHAnsi" w:hAnsiTheme="minorHAnsi" w:cstheme="minorHAnsi"/>
          <w:b/>
          <w:sz w:val="18"/>
          <w:szCs w:val="18"/>
        </w:rPr>
      </w:pPr>
      <w:r w:rsidRPr="00537EEE">
        <w:rPr>
          <w:rFonts w:asciiTheme="minorHAnsi" w:hAnsiTheme="minorHAnsi" w:cstheme="minorHAnsi"/>
          <w:b/>
          <w:sz w:val="18"/>
          <w:szCs w:val="18"/>
        </w:rPr>
        <w:t xml:space="preserve">Systems Thinking </w:t>
      </w:r>
    </w:p>
    <w:p w14:paraId="3407E579" w14:textId="77777777" w:rsidR="00E47093" w:rsidRPr="00537EEE" w:rsidRDefault="00E47093" w:rsidP="00E47093">
      <w:pPr>
        <w:rPr>
          <w:rFonts w:asciiTheme="minorHAnsi" w:hAnsiTheme="minorHAnsi" w:cstheme="minorHAnsi"/>
          <w:sz w:val="18"/>
          <w:szCs w:val="18"/>
        </w:rPr>
        <w:sectPr w:rsidR="00E47093" w:rsidRPr="00537EEE" w:rsidSect="0044236F">
          <w:type w:val="continuous"/>
          <w:pgSz w:w="12240" w:h="15840" w:code="1"/>
          <w:pgMar w:top="720" w:right="720" w:bottom="720" w:left="720" w:header="720" w:footer="720" w:gutter="0"/>
          <w:paperSrc w:first="4" w:other="4"/>
          <w:cols w:num="2" w:space="432"/>
          <w:titlePg/>
          <w:docGrid w:linePitch="272"/>
        </w:sectPr>
      </w:pPr>
      <w:r w:rsidRPr="00537EEE">
        <w:rPr>
          <w:rFonts w:asciiTheme="minorHAnsi" w:hAnsiTheme="minorHAnsi" w:cstheme="minorHAnsi"/>
          <w:sz w:val="18"/>
          <w:szCs w:val="18"/>
        </w:rPr>
        <w:t>D2.22. Apply systems thinking tools to a public health issue</w:t>
      </w:r>
    </w:p>
    <w:p w14:paraId="2DFB32B8" w14:textId="77777777" w:rsidR="00E47093" w:rsidRPr="00537EEE" w:rsidRDefault="00E47093" w:rsidP="00E47093">
      <w:pPr>
        <w:rPr>
          <w:rFonts w:asciiTheme="minorHAnsi" w:hAnsiTheme="minorHAnsi" w:cstheme="minorHAnsi"/>
          <w:sz w:val="18"/>
          <w:szCs w:val="18"/>
        </w:rPr>
      </w:pPr>
    </w:p>
    <w:p w14:paraId="18D57591"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b/>
          <w:sz w:val="18"/>
          <w:szCs w:val="18"/>
          <w:u w:val="single"/>
        </w:rPr>
        <w:t>HPMC. MPH in Health Policy and Management Concentration Competencies</w:t>
      </w:r>
    </w:p>
    <w:p w14:paraId="500C0268"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HPMC.1. Use policy and management tools to evaluate implications of specific programs, policies, and interventions on organizations and populations.</w:t>
      </w:r>
    </w:p>
    <w:p w14:paraId="77C53B9A"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HPMC.2. Develop and justify budgets that support programs and organizations in the public health and health care sectors.</w:t>
      </w:r>
    </w:p>
    <w:p w14:paraId="648C6B65"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HPMC.3. Communicate evidence-based options to address public health management and policy problems.</w:t>
      </w:r>
    </w:p>
    <w:p w14:paraId="7A00E39F"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HPMC.4. Apply project management and strategic management tools to create public health program goals, strategies, and objectives.</w:t>
      </w:r>
    </w:p>
    <w:p w14:paraId="0F29341D" w14:textId="77777777" w:rsidR="00E47093" w:rsidRPr="00537EEE" w:rsidRDefault="00E47093" w:rsidP="00E47093">
      <w:pPr>
        <w:rPr>
          <w:rFonts w:asciiTheme="minorHAnsi" w:hAnsiTheme="minorHAnsi" w:cstheme="minorHAnsi"/>
          <w:sz w:val="18"/>
          <w:szCs w:val="18"/>
        </w:rPr>
      </w:pPr>
      <w:r w:rsidRPr="00537EEE">
        <w:rPr>
          <w:rFonts w:asciiTheme="minorHAnsi" w:hAnsiTheme="minorHAnsi" w:cstheme="minorHAnsi"/>
          <w:sz w:val="18"/>
          <w:szCs w:val="18"/>
        </w:rPr>
        <w:t>HPMC.5. Recommend and justify policies or organizational initiatives for implementation after examining their feasibility and implications.</w:t>
      </w:r>
    </w:p>
    <w:sectPr w:rsidR="00E47093" w:rsidRPr="00537EEE" w:rsidSect="004E24A2">
      <w:footerReference w:type="default" r:id="rId25"/>
      <w:pgSz w:w="12240" w:h="15840" w:code="1"/>
      <w:pgMar w:top="1080" w:right="1440" w:bottom="108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88B34" w14:textId="77777777" w:rsidR="000B5EFE" w:rsidRDefault="000B5EFE">
      <w:r>
        <w:separator/>
      </w:r>
    </w:p>
  </w:endnote>
  <w:endnote w:type="continuationSeparator" w:id="0">
    <w:p w14:paraId="0AFA6F75" w14:textId="77777777" w:rsidR="000B5EFE" w:rsidRDefault="000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F05D" w14:textId="77777777" w:rsidR="0044236F" w:rsidRDefault="0044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BEC36" w14:textId="77777777" w:rsidR="0044236F" w:rsidRDefault="004423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A111" w14:textId="017A306C" w:rsidR="0044236F" w:rsidRDefault="00442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68D">
      <w:rPr>
        <w:rStyle w:val="PageNumber"/>
        <w:noProof/>
      </w:rPr>
      <w:t>10</w:t>
    </w:r>
    <w:r>
      <w:rPr>
        <w:rStyle w:val="PageNumber"/>
      </w:rPr>
      <w:fldChar w:fldCharType="end"/>
    </w:r>
  </w:p>
  <w:p w14:paraId="6972076E" w14:textId="77777777" w:rsidR="0044236F" w:rsidRDefault="004423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FC35" w14:textId="7AD6EE85" w:rsidR="0044236F" w:rsidRPr="009C05D2" w:rsidRDefault="0044236F">
    <w:pPr>
      <w:pStyle w:val="Footer"/>
      <w:rPr>
        <w:rFonts w:ascii="Arial" w:hAnsi="Arial"/>
        <w:sz w:val="16"/>
      </w:rPr>
    </w:pPr>
    <w:r w:rsidRPr="009C05D2">
      <w:rPr>
        <w:rFonts w:ascii="Arial" w:hAnsi="Arial"/>
        <w:sz w:val="16"/>
      </w:rPr>
      <w:tab/>
    </w:r>
    <w:r>
      <w:rPr>
        <w:rFonts w:ascii="Arial" w:hAnsi="Arial"/>
        <w:sz w:val="16"/>
      </w:rPr>
      <w:tab/>
    </w:r>
    <w:r>
      <w:rPr>
        <w:rFonts w:ascii="Arial" w:hAnsi="Arial"/>
        <w:sz w:val="16"/>
      </w:rPr>
      <w:tab/>
      <w:t>Updated 08/01/17 (Fall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7341" w14:textId="77777777" w:rsidR="000B5EFE" w:rsidRDefault="000B5EFE">
      <w:r>
        <w:separator/>
      </w:r>
    </w:p>
  </w:footnote>
  <w:footnote w:type="continuationSeparator" w:id="0">
    <w:p w14:paraId="5C90F0FA" w14:textId="77777777" w:rsidR="000B5EFE" w:rsidRDefault="000B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FEFF" w14:textId="77777777" w:rsidR="0044236F" w:rsidRPr="0009292B" w:rsidRDefault="0044236F" w:rsidP="0044236F">
    <w:pPr>
      <w:pStyle w:val="Header"/>
      <w:rPr>
        <w:sz w:val="4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0D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78B4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C523E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E0153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928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7E61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38E8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0675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A6D5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E58F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C863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45C62"/>
    <w:multiLevelType w:val="hybridMultilevel"/>
    <w:tmpl w:val="622EF7D0"/>
    <w:lvl w:ilvl="0" w:tplc="751E633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A6A8D"/>
    <w:multiLevelType w:val="hybridMultilevel"/>
    <w:tmpl w:val="EDE6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1B6486"/>
    <w:multiLevelType w:val="hybridMultilevel"/>
    <w:tmpl w:val="EB42F0D8"/>
    <w:lvl w:ilvl="0" w:tplc="0409000F">
      <w:start w:val="1"/>
      <w:numFmt w:val="decimal"/>
      <w:lvlText w:val="%1."/>
      <w:lvlJc w:val="left"/>
      <w:pPr>
        <w:ind w:left="720" w:hanging="360"/>
      </w:pPr>
      <w:rPr>
        <w:rFonts w:hint="default"/>
        <w:b w:val="0"/>
        <w:sz w:val="20"/>
        <w:szCs w:val="20"/>
      </w:rPr>
    </w:lvl>
    <w:lvl w:ilvl="1" w:tplc="8D603E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F0899"/>
    <w:multiLevelType w:val="hybridMultilevel"/>
    <w:tmpl w:val="08C49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B1D04"/>
    <w:multiLevelType w:val="hybridMultilevel"/>
    <w:tmpl w:val="D10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9"/>
  </w:num>
  <w:num w:numId="4">
    <w:abstractNumId w:val="12"/>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11"/>
  </w:num>
  <w:num w:numId="18">
    <w:abstractNumId w:val="17"/>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17D0E"/>
    <w:rsid w:val="00036C40"/>
    <w:rsid w:val="00052623"/>
    <w:rsid w:val="00056138"/>
    <w:rsid w:val="00066102"/>
    <w:rsid w:val="00071E4B"/>
    <w:rsid w:val="000B2AF3"/>
    <w:rsid w:val="000B5EFE"/>
    <w:rsid w:val="000C1145"/>
    <w:rsid w:val="000C6758"/>
    <w:rsid w:val="000E758D"/>
    <w:rsid w:val="000F56CC"/>
    <w:rsid w:val="00130C3A"/>
    <w:rsid w:val="0013354E"/>
    <w:rsid w:val="00167C19"/>
    <w:rsid w:val="0017759C"/>
    <w:rsid w:val="001906F6"/>
    <w:rsid w:val="001A3CDB"/>
    <w:rsid w:val="001C2945"/>
    <w:rsid w:val="001C3C8D"/>
    <w:rsid w:val="001E62FD"/>
    <w:rsid w:val="001F36A8"/>
    <w:rsid w:val="001F518B"/>
    <w:rsid w:val="00206A16"/>
    <w:rsid w:val="00211D4D"/>
    <w:rsid w:val="002351C2"/>
    <w:rsid w:val="002413A8"/>
    <w:rsid w:val="002468DD"/>
    <w:rsid w:val="00250842"/>
    <w:rsid w:val="0025654C"/>
    <w:rsid w:val="00256DE4"/>
    <w:rsid w:val="002B2F9A"/>
    <w:rsid w:val="002B62E9"/>
    <w:rsid w:val="002E32AD"/>
    <w:rsid w:val="002E492A"/>
    <w:rsid w:val="002F1DBC"/>
    <w:rsid w:val="002F76EA"/>
    <w:rsid w:val="00300B3C"/>
    <w:rsid w:val="00303D96"/>
    <w:rsid w:val="00305671"/>
    <w:rsid w:val="0030774C"/>
    <w:rsid w:val="003163E4"/>
    <w:rsid w:val="0035572C"/>
    <w:rsid w:val="00355C07"/>
    <w:rsid w:val="00366889"/>
    <w:rsid w:val="00380ABD"/>
    <w:rsid w:val="00396748"/>
    <w:rsid w:val="003A394C"/>
    <w:rsid w:val="003C2BB7"/>
    <w:rsid w:val="003C368C"/>
    <w:rsid w:val="003C72D3"/>
    <w:rsid w:val="003C74D9"/>
    <w:rsid w:val="003E7EC6"/>
    <w:rsid w:val="003F28EE"/>
    <w:rsid w:val="00404551"/>
    <w:rsid w:val="00426D21"/>
    <w:rsid w:val="00433ADC"/>
    <w:rsid w:val="0044236F"/>
    <w:rsid w:val="00446EE1"/>
    <w:rsid w:val="00456FF9"/>
    <w:rsid w:val="00485F9E"/>
    <w:rsid w:val="004B09B8"/>
    <w:rsid w:val="004B284C"/>
    <w:rsid w:val="004B51EC"/>
    <w:rsid w:val="004C29A0"/>
    <w:rsid w:val="004D10AC"/>
    <w:rsid w:val="004E1A18"/>
    <w:rsid w:val="004E24A2"/>
    <w:rsid w:val="004F599B"/>
    <w:rsid w:val="004F5C02"/>
    <w:rsid w:val="004F609F"/>
    <w:rsid w:val="005046FE"/>
    <w:rsid w:val="00506514"/>
    <w:rsid w:val="0053768D"/>
    <w:rsid w:val="00545C50"/>
    <w:rsid w:val="005562DE"/>
    <w:rsid w:val="00581ECB"/>
    <w:rsid w:val="0059129C"/>
    <w:rsid w:val="005A1F0C"/>
    <w:rsid w:val="005B4A70"/>
    <w:rsid w:val="005D3472"/>
    <w:rsid w:val="005E108D"/>
    <w:rsid w:val="005E11E5"/>
    <w:rsid w:val="005F1074"/>
    <w:rsid w:val="005F46FC"/>
    <w:rsid w:val="0060242A"/>
    <w:rsid w:val="00604A83"/>
    <w:rsid w:val="00604FB2"/>
    <w:rsid w:val="0060533B"/>
    <w:rsid w:val="006170A2"/>
    <w:rsid w:val="006437CD"/>
    <w:rsid w:val="00643C3F"/>
    <w:rsid w:val="00654087"/>
    <w:rsid w:val="0066463F"/>
    <w:rsid w:val="00677979"/>
    <w:rsid w:val="00684746"/>
    <w:rsid w:val="00686D15"/>
    <w:rsid w:val="00687393"/>
    <w:rsid w:val="006A74A2"/>
    <w:rsid w:val="006C67DC"/>
    <w:rsid w:val="006E1902"/>
    <w:rsid w:val="006E547C"/>
    <w:rsid w:val="006F1AEA"/>
    <w:rsid w:val="006F1E7F"/>
    <w:rsid w:val="007257D1"/>
    <w:rsid w:val="00750214"/>
    <w:rsid w:val="00762466"/>
    <w:rsid w:val="00776FDA"/>
    <w:rsid w:val="00792C48"/>
    <w:rsid w:val="007A158B"/>
    <w:rsid w:val="007B7CF7"/>
    <w:rsid w:val="008034F7"/>
    <w:rsid w:val="00810B73"/>
    <w:rsid w:val="008131B7"/>
    <w:rsid w:val="00820590"/>
    <w:rsid w:val="00825965"/>
    <w:rsid w:val="00846D53"/>
    <w:rsid w:val="0084774A"/>
    <w:rsid w:val="00847E33"/>
    <w:rsid w:val="00857B38"/>
    <w:rsid w:val="00857F16"/>
    <w:rsid w:val="0086547F"/>
    <w:rsid w:val="00872B04"/>
    <w:rsid w:val="0087513B"/>
    <w:rsid w:val="00897A27"/>
    <w:rsid w:val="008B0848"/>
    <w:rsid w:val="008C227A"/>
    <w:rsid w:val="008C6CBC"/>
    <w:rsid w:val="008D3D23"/>
    <w:rsid w:val="0090417F"/>
    <w:rsid w:val="00911B4D"/>
    <w:rsid w:val="00913EBE"/>
    <w:rsid w:val="009219B4"/>
    <w:rsid w:val="00927FB8"/>
    <w:rsid w:val="009372F3"/>
    <w:rsid w:val="00944ED3"/>
    <w:rsid w:val="0096675C"/>
    <w:rsid w:val="009705B4"/>
    <w:rsid w:val="0098463D"/>
    <w:rsid w:val="00985F3A"/>
    <w:rsid w:val="009A2F2F"/>
    <w:rsid w:val="009A7FCC"/>
    <w:rsid w:val="009B3AC7"/>
    <w:rsid w:val="009B48DD"/>
    <w:rsid w:val="009D057A"/>
    <w:rsid w:val="009E5C9C"/>
    <w:rsid w:val="00A023E0"/>
    <w:rsid w:val="00A04FA3"/>
    <w:rsid w:val="00A2305B"/>
    <w:rsid w:val="00A23C40"/>
    <w:rsid w:val="00A44A3A"/>
    <w:rsid w:val="00A7114A"/>
    <w:rsid w:val="00A83152"/>
    <w:rsid w:val="00A8698F"/>
    <w:rsid w:val="00A96244"/>
    <w:rsid w:val="00AA2689"/>
    <w:rsid w:val="00AB1D1C"/>
    <w:rsid w:val="00AE011D"/>
    <w:rsid w:val="00AE1CA2"/>
    <w:rsid w:val="00AE4337"/>
    <w:rsid w:val="00B14FC1"/>
    <w:rsid w:val="00B1776C"/>
    <w:rsid w:val="00B2123B"/>
    <w:rsid w:val="00B4020D"/>
    <w:rsid w:val="00B40CBB"/>
    <w:rsid w:val="00B64403"/>
    <w:rsid w:val="00B72D1E"/>
    <w:rsid w:val="00B9330C"/>
    <w:rsid w:val="00BA131C"/>
    <w:rsid w:val="00BB5FB6"/>
    <w:rsid w:val="00BC2715"/>
    <w:rsid w:val="00BF1B6D"/>
    <w:rsid w:val="00BF2FDE"/>
    <w:rsid w:val="00C11EE2"/>
    <w:rsid w:val="00C33B5F"/>
    <w:rsid w:val="00C42D95"/>
    <w:rsid w:val="00C45DB7"/>
    <w:rsid w:val="00C660F4"/>
    <w:rsid w:val="00C73565"/>
    <w:rsid w:val="00C768FB"/>
    <w:rsid w:val="00C80A1F"/>
    <w:rsid w:val="00C8375B"/>
    <w:rsid w:val="00C84012"/>
    <w:rsid w:val="00C95613"/>
    <w:rsid w:val="00C96DB3"/>
    <w:rsid w:val="00C971CA"/>
    <w:rsid w:val="00CA1260"/>
    <w:rsid w:val="00CA2D16"/>
    <w:rsid w:val="00CA52BA"/>
    <w:rsid w:val="00CB47B5"/>
    <w:rsid w:val="00CB6754"/>
    <w:rsid w:val="00CD54DD"/>
    <w:rsid w:val="00CD566E"/>
    <w:rsid w:val="00CD6515"/>
    <w:rsid w:val="00CE463E"/>
    <w:rsid w:val="00CE5501"/>
    <w:rsid w:val="00CF5D18"/>
    <w:rsid w:val="00D11161"/>
    <w:rsid w:val="00D47A24"/>
    <w:rsid w:val="00D52768"/>
    <w:rsid w:val="00D64045"/>
    <w:rsid w:val="00D657C9"/>
    <w:rsid w:val="00D87ECF"/>
    <w:rsid w:val="00D91E66"/>
    <w:rsid w:val="00DA118D"/>
    <w:rsid w:val="00DA19AD"/>
    <w:rsid w:val="00DA4E37"/>
    <w:rsid w:val="00DB4B11"/>
    <w:rsid w:val="00DB60C2"/>
    <w:rsid w:val="00DD0140"/>
    <w:rsid w:val="00DD368E"/>
    <w:rsid w:val="00DD4C3E"/>
    <w:rsid w:val="00DD5878"/>
    <w:rsid w:val="00DF49AC"/>
    <w:rsid w:val="00DF6BF9"/>
    <w:rsid w:val="00E05581"/>
    <w:rsid w:val="00E1333D"/>
    <w:rsid w:val="00E151AD"/>
    <w:rsid w:val="00E2111F"/>
    <w:rsid w:val="00E26378"/>
    <w:rsid w:val="00E4032A"/>
    <w:rsid w:val="00E47093"/>
    <w:rsid w:val="00E705D1"/>
    <w:rsid w:val="00E75B75"/>
    <w:rsid w:val="00E808C1"/>
    <w:rsid w:val="00E80FD8"/>
    <w:rsid w:val="00E905D9"/>
    <w:rsid w:val="00EB0573"/>
    <w:rsid w:val="00F12678"/>
    <w:rsid w:val="00F207A9"/>
    <w:rsid w:val="00F232BD"/>
    <w:rsid w:val="00F415AC"/>
    <w:rsid w:val="00F4729E"/>
    <w:rsid w:val="00F65F88"/>
    <w:rsid w:val="00F74ED4"/>
    <w:rsid w:val="00F7600B"/>
    <w:rsid w:val="00F80782"/>
    <w:rsid w:val="00FA7244"/>
    <w:rsid w:val="00FB156B"/>
    <w:rsid w:val="00FB552C"/>
    <w:rsid w:val="00FC6270"/>
    <w:rsid w:val="00FE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90ACA8"/>
  <w15:docId w15:val="{6B2E65E7-DACD-4CD4-8B8B-E2E7F544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paragraph" w:styleId="Heading4">
    <w:name w:val="heading 4"/>
    <w:basedOn w:val="Normal"/>
    <w:next w:val="Normal"/>
    <w:link w:val="Heading4Char"/>
    <w:uiPriority w:val="99"/>
    <w:qFormat/>
    <w:rsid w:val="000526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link w:val="HeaderChar"/>
    <w:rsid w:val="009C05D2"/>
    <w:pPr>
      <w:tabs>
        <w:tab w:val="center" w:pos="4320"/>
        <w:tab w:val="right" w:pos="8640"/>
      </w:tabs>
    </w:pPr>
  </w:style>
  <w:style w:type="paragraph" w:styleId="Footer">
    <w:name w:val="footer"/>
    <w:basedOn w:val="Normal"/>
    <w:link w:val="FooterChar"/>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customStyle="1" w:styleId="Default">
    <w:name w:val="Default"/>
    <w:rsid w:val="0096675C"/>
    <w:pPr>
      <w:autoSpaceDE w:val="0"/>
      <w:autoSpaceDN w:val="0"/>
      <w:adjustRightInd w:val="0"/>
    </w:pPr>
    <w:rPr>
      <w:rFonts w:ascii="Cambria" w:eastAsia="Calibri" w:hAnsi="Cambria" w:cs="Cambria"/>
      <w:color w:val="000000"/>
      <w:sz w:val="24"/>
      <w:szCs w:val="24"/>
    </w:rPr>
  </w:style>
  <w:style w:type="paragraph" w:customStyle="1" w:styleId="ColorfulList-Accent11">
    <w:name w:val="Colorful List - Accent 11"/>
    <w:basedOn w:val="Normal"/>
    <w:uiPriority w:val="34"/>
    <w:qFormat/>
    <w:rsid w:val="0096675C"/>
    <w:pPr>
      <w:spacing w:after="200" w:line="276" w:lineRule="auto"/>
      <w:ind w:left="720"/>
      <w:contextualSpacing/>
    </w:pPr>
    <w:rPr>
      <w:rFonts w:ascii="Calibri" w:eastAsia="MS Mincho" w:hAnsi="Calibri"/>
      <w:sz w:val="22"/>
      <w:szCs w:val="22"/>
    </w:rPr>
  </w:style>
  <w:style w:type="paragraph" w:customStyle="1" w:styleId="CM8">
    <w:name w:val="CM8"/>
    <w:basedOn w:val="Default"/>
    <w:next w:val="Default"/>
    <w:uiPriority w:val="99"/>
    <w:rsid w:val="00581ECB"/>
    <w:pPr>
      <w:widowControl w:val="0"/>
    </w:pPr>
    <w:rPr>
      <w:rFonts w:ascii="Times New Roman" w:eastAsia="MS Mincho" w:hAnsi="Times New Roman" w:cs="Times New Roman"/>
      <w:color w:val="auto"/>
    </w:rPr>
  </w:style>
  <w:style w:type="character" w:customStyle="1" w:styleId="Heading4Char">
    <w:name w:val="Heading 4 Char"/>
    <w:link w:val="Heading4"/>
    <w:uiPriority w:val="99"/>
    <w:rsid w:val="00052623"/>
    <w:rPr>
      <w:b/>
      <w:bCs/>
      <w:sz w:val="28"/>
      <w:szCs w:val="28"/>
    </w:rPr>
  </w:style>
  <w:style w:type="paragraph" w:customStyle="1" w:styleId="CM6">
    <w:name w:val="CM6"/>
    <w:basedOn w:val="Default"/>
    <w:next w:val="Default"/>
    <w:uiPriority w:val="99"/>
    <w:rsid w:val="00052623"/>
    <w:pPr>
      <w:widowControl w:val="0"/>
    </w:pPr>
    <w:rPr>
      <w:rFonts w:ascii="Times New Roman" w:eastAsia="MS Mincho" w:hAnsi="Times New Roman" w:cs="Times New Roman"/>
      <w:color w:val="auto"/>
    </w:rPr>
  </w:style>
  <w:style w:type="paragraph" w:styleId="NormalWeb">
    <w:name w:val="Normal (Web)"/>
    <w:basedOn w:val="Normal"/>
    <w:uiPriority w:val="99"/>
    <w:unhideWhenUsed/>
    <w:rsid w:val="00F12678"/>
    <w:pPr>
      <w:spacing w:before="100" w:beforeAutospacing="1" w:after="100" w:afterAutospacing="1"/>
    </w:pPr>
  </w:style>
  <w:style w:type="paragraph" w:styleId="BodyText">
    <w:name w:val="Body Text"/>
    <w:basedOn w:val="Normal"/>
    <w:link w:val="BodyTextChar"/>
    <w:rsid w:val="00944ED3"/>
    <w:pPr>
      <w:spacing w:after="120"/>
    </w:pPr>
  </w:style>
  <w:style w:type="character" w:customStyle="1" w:styleId="BodyTextChar">
    <w:name w:val="Body Text Char"/>
    <w:link w:val="BodyText"/>
    <w:rsid w:val="00944ED3"/>
    <w:rPr>
      <w:sz w:val="24"/>
      <w:szCs w:val="24"/>
    </w:rPr>
  </w:style>
  <w:style w:type="paragraph" w:styleId="BalloonText">
    <w:name w:val="Balloon Text"/>
    <w:basedOn w:val="Normal"/>
    <w:link w:val="BalloonTextChar"/>
    <w:rsid w:val="002B2F9A"/>
    <w:rPr>
      <w:rFonts w:ascii="Segoe UI" w:hAnsi="Segoe UI" w:cs="Segoe UI"/>
      <w:sz w:val="18"/>
      <w:szCs w:val="18"/>
    </w:rPr>
  </w:style>
  <w:style w:type="character" w:customStyle="1" w:styleId="BalloonTextChar">
    <w:name w:val="Balloon Text Char"/>
    <w:link w:val="BalloonText"/>
    <w:rsid w:val="002B2F9A"/>
    <w:rPr>
      <w:rFonts w:ascii="Segoe UI" w:hAnsi="Segoe UI" w:cs="Segoe UI"/>
      <w:sz w:val="18"/>
      <w:szCs w:val="18"/>
    </w:rPr>
  </w:style>
  <w:style w:type="character" w:customStyle="1" w:styleId="apple-converted-space">
    <w:name w:val="apple-converted-space"/>
    <w:basedOn w:val="DefaultParagraphFont"/>
    <w:rsid w:val="00D47A24"/>
  </w:style>
  <w:style w:type="paragraph" w:styleId="NoSpacing">
    <w:name w:val="No Spacing"/>
    <w:uiPriority w:val="1"/>
    <w:qFormat/>
    <w:rsid w:val="00D47A24"/>
    <w:rPr>
      <w:rFonts w:ascii="Calibri" w:eastAsia="MS Mincho" w:hAnsi="Calibri"/>
      <w:sz w:val="24"/>
      <w:szCs w:val="24"/>
    </w:rPr>
  </w:style>
  <w:style w:type="paragraph" w:styleId="ListParagraph">
    <w:name w:val="List Paragraph"/>
    <w:basedOn w:val="Normal"/>
    <w:qFormat/>
    <w:rsid w:val="00D47A24"/>
    <w:pPr>
      <w:spacing w:after="200" w:line="276" w:lineRule="auto"/>
      <w:ind w:left="720"/>
      <w:contextualSpacing/>
    </w:pPr>
    <w:rPr>
      <w:rFonts w:ascii="Calibri" w:eastAsia="MS Mincho" w:hAnsi="Calibri"/>
      <w:sz w:val="22"/>
      <w:szCs w:val="22"/>
    </w:rPr>
  </w:style>
  <w:style w:type="character" w:customStyle="1" w:styleId="FooterChar">
    <w:name w:val="Footer Char"/>
    <w:basedOn w:val="DefaultParagraphFont"/>
    <w:link w:val="Footer"/>
    <w:semiHidden/>
    <w:rsid w:val="00E47093"/>
    <w:rPr>
      <w:sz w:val="24"/>
      <w:szCs w:val="24"/>
    </w:rPr>
  </w:style>
  <w:style w:type="character" w:customStyle="1" w:styleId="HeaderChar">
    <w:name w:val="Header Char"/>
    <w:basedOn w:val="DefaultParagraphFont"/>
    <w:link w:val="Header"/>
    <w:rsid w:val="00E47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548">
      <w:bodyDiv w:val="1"/>
      <w:marLeft w:val="0"/>
      <w:marRight w:val="0"/>
      <w:marTop w:val="0"/>
      <w:marBottom w:val="0"/>
      <w:divBdr>
        <w:top w:val="none" w:sz="0" w:space="0" w:color="auto"/>
        <w:left w:val="none" w:sz="0" w:space="0" w:color="auto"/>
        <w:bottom w:val="none" w:sz="0" w:space="0" w:color="auto"/>
        <w:right w:val="none" w:sz="0" w:space="0" w:color="auto"/>
      </w:divBdr>
    </w:div>
    <w:div w:id="546528340">
      <w:bodyDiv w:val="1"/>
      <w:marLeft w:val="0"/>
      <w:marRight w:val="0"/>
      <w:marTop w:val="0"/>
      <w:marBottom w:val="0"/>
      <w:divBdr>
        <w:top w:val="none" w:sz="0" w:space="0" w:color="auto"/>
        <w:left w:val="none" w:sz="0" w:space="0" w:color="auto"/>
        <w:bottom w:val="none" w:sz="0" w:space="0" w:color="auto"/>
        <w:right w:val="none" w:sz="0" w:space="0" w:color="auto"/>
      </w:divBdr>
      <w:divsChild>
        <w:div w:id="964388248">
          <w:marLeft w:val="0"/>
          <w:marRight w:val="0"/>
          <w:marTop w:val="0"/>
          <w:marBottom w:val="0"/>
          <w:divBdr>
            <w:top w:val="none" w:sz="0" w:space="0" w:color="auto"/>
            <w:left w:val="none" w:sz="0" w:space="0" w:color="auto"/>
            <w:bottom w:val="none" w:sz="0" w:space="0" w:color="auto"/>
            <w:right w:val="none" w:sz="0" w:space="0" w:color="auto"/>
          </w:divBdr>
        </w:div>
        <w:div w:id="689916140">
          <w:marLeft w:val="0"/>
          <w:marRight w:val="0"/>
          <w:marTop w:val="0"/>
          <w:marBottom w:val="0"/>
          <w:divBdr>
            <w:top w:val="none" w:sz="0" w:space="0" w:color="auto"/>
            <w:left w:val="none" w:sz="0" w:space="0" w:color="auto"/>
            <w:bottom w:val="none" w:sz="0" w:space="0" w:color="auto"/>
            <w:right w:val="none" w:sz="0" w:space="0" w:color="auto"/>
          </w:divBdr>
        </w:div>
        <w:div w:id="497234214">
          <w:marLeft w:val="0"/>
          <w:marRight w:val="0"/>
          <w:marTop w:val="0"/>
          <w:marBottom w:val="0"/>
          <w:divBdr>
            <w:top w:val="none" w:sz="0" w:space="0" w:color="auto"/>
            <w:left w:val="none" w:sz="0" w:space="0" w:color="auto"/>
            <w:bottom w:val="none" w:sz="0" w:space="0" w:color="auto"/>
            <w:right w:val="none" w:sz="0" w:space="0" w:color="auto"/>
          </w:divBdr>
        </w:div>
        <w:div w:id="566111058">
          <w:marLeft w:val="0"/>
          <w:marRight w:val="0"/>
          <w:marTop w:val="0"/>
          <w:marBottom w:val="0"/>
          <w:divBdr>
            <w:top w:val="none" w:sz="0" w:space="0" w:color="auto"/>
            <w:left w:val="none" w:sz="0" w:space="0" w:color="auto"/>
            <w:bottom w:val="none" w:sz="0" w:space="0" w:color="auto"/>
            <w:right w:val="none" w:sz="0" w:space="0" w:color="auto"/>
          </w:divBdr>
        </w:div>
        <w:div w:id="239758237">
          <w:marLeft w:val="0"/>
          <w:marRight w:val="0"/>
          <w:marTop w:val="0"/>
          <w:marBottom w:val="0"/>
          <w:divBdr>
            <w:top w:val="none" w:sz="0" w:space="0" w:color="auto"/>
            <w:left w:val="none" w:sz="0" w:space="0" w:color="auto"/>
            <w:bottom w:val="none" w:sz="0" w:space="0" w:color="auto"/>
            <w:right w:val="none" w:sz="0" w:space="0" w:color="auto"/>
          </w:divBdr>
        </w:div>
        <w:div w:id="240331723">
          <w:marLeft w:val="0"/>
          <w:marRight w:val="0"/>
          <w:marTop w:val="0"/>
          <w:marBottom w:val="0"/>
          <w:divBdr>
            <w:top w:val="none" w:sz="0" w:space="0" w:color="auto"/>
            <w:left w:val="none" w:sz="0" w:space="0" w:color="auto"/>
            <w:bottom w:val="none" w:sz="0" w:space="0" w:color="auto"/>
            <w:right w:val="none" w:sz="0" w:space="0" w:color="auto"/>
          </w:divBdr>
        </w:div>
      </w:divsChild>
    </w:div>
    <w:div w:id="956371228">
      <w:bodyDiv w:val="1"/>
      <w:marLeft w:val="0"/>
      <w:marRight w:val="0"/>
      <w:marTop w:val="0"/>
      <w:marBottom w:val="0"/>
      <w:divBdr>
        <w:top w:val="none" w:sz="0" w:space="0" w:color="auto"/>
        <w:left w:val="none" w:sz="0" w:space="0" w:color="auto"/>
        <w:bottom w:val="none" w:sz="0" w:space="0" w:color="auto"/>
        <w:right w:val="none" w:sz="0" w:space="0" w:color="auto"/>
      </w:divBdr>
      <w:divsChild>
        <w:div w:id="1133210130">
          <w:marLeft w:val="0"/>
          <w:marRight w:val="0"/>
          <w:marTop w:val="0"/>
          <w:marBottom w:val="0"/>
          <w:divBdr>
            <w:top w:val="none" w:sz="0" w:space="0" w:color="auto"/>
            <w:left w:val="none" w:sz="0" w:space="0" w:color="auto"/>
            <w:bottom w:val="none" w:sz="0" w:space="0" w:color="auto"/>
            <w:right w:val="none" w:sz="0" w:space="0" w:color="auto"/>
          </w:divBdr>
        </w:div>
        <w:div w:id="1538859322">
          <w:marLeft w:val="0"/>
          <w:marRight w:val="0"/>
          <w:marTop w:val="0"/>
          <w:marBottom w:val="0"/>
          <w:divBdr>
            <w:top w:val="none" w:sz="0" w:space="0" w:color="auto"/>
            <w:left w:val="none" w:sz="0" w:space="0" w:color="auto"/>
            <w:bottom w:val="none" w:sz="0" w:space="0" w:color="auto"/>
            <w:right w:val="none" w:sz="0" w:space="0" w:color="auto"/>
          </w:divBdr>
        </w:div>
        <w:div w:id="1392969541">
          <w:marLeft w:val="0"/>
          <w:marRight w:val="0"/>
          <w:marTop w:val="0"/>
          <w:marBottom w:val="0"/>
          <w:divBdr>
            <w:top w:val="none" w:sz="0" w:space="0" w:color="auto"/>
            <w:left w:val="none" w:sz="0" w:space="0" w:color="auto"/>
            <w:bottom w:val="none" w:sz="0" w:space="0" w:color="auto"/>
            <w:right w:val="none" w:sz="0" w:space="0" w:color="auto"/>
          </w:divBdr>
        </w:div>
        <w:div w:id="1496647716">
          <w:marLeft w:val="0"/>
          <w:marRight w:val="0"/>
          <w:marTop w:val="0"/>
          <w:marBottom w:val="0"/>
          <w:divBdr>
            <w:top w:val="none" w:sz="0" w:space="0" w:color="auto"/>
            <w:left w:val="none" w:sz="0" w:space="0" w:color="auto"/>
            <w:bottom w:val="none" w:sz="0" w:space="0" w:color="auto"/>
            <w:right w:val="none" w:sz="0" w:space="0" w:color="auto"/>
          </w:divBdr>
        </w:div>
        <w:div w:id="1628271724">
          <w:marLeft w:val="0"/>
          <w:marRight w:val="0"/>
          <w:marTop w:val="0"/>
          <w:marBottom w:val="0"/>
          <w:divBdr>
            <w:top w:val="none" w:sz="0" w:space="0" w:color="auto"/>
            <w:left w:val="none" w:sz="0" w:space="0" w:color="auto"/>
            <w:bottom w:val="none" w:sz="0" w:space="0" w:color="auto"/>
            <w:right w:val="none" w:sz="0" w:space="0" w:color="auto"/>
          </w:divBdr>
        </w:div>
        <w:div w:id="26110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h.tamhsc.edu/assessment-instructional/blackboard/blackboard-learn-tutorials.html" TargetMode="External"/><Relationship Id="rId18" Type="http://schemas.openxmlformats.org/officeDocument/2006/relationships/hyperlink" Target="mailto:phuong@srph.tamh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ggiehonor.tamu.edu" TargetMode="External"/><Relationship Id="rId7" Type="http://schemas.openxmlformats.org/officeDocument/2006/relationships/endnotes" Target="endnotes.xml"/><Relationship Id="rId12" Type="http://schemas.openxmlformats.org/officeDocument/2006/relationships/hyperlink" Target="http://ecampus.tamu.edu" TargetMode="External"/><Relationship Id="rId17" Type="http://schemas.openxmlformats.org/officeDocument/2006/relationships/hyperlink" Target="mailto:helpdesk@tam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lpdesk@tamhsc.edu" TargetMode="External"/><Relationship Id="rId20" Type="http://schemas.openxmlformats.org/officeDocument/2006/relationships/hyperlink" Target="http://srph.tamhsc.edu/academic-affairs/academic-integr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wdy.tam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h.tamhsc.edu/assessment-instructional/com-requirement.html" TargetMode="External"/><Relationship Id="rId23" Type="http://schemas.openxmlformats.org/officeDocument/2006/relationships/footer" Target="footer1.xml"/><Relationship Id="rId10" Type="http://schemas.openxmlformats.org/officeDocument/2006/relationships/hyperlink" Target="http://student-rules.tamu.edu/rule07" TargetMode="External"/><Relationship Id="rId19" Type="http://schemas.openxmlformats.org/officeDocument/2006/relationships/hyperlink" Target="http://disability.tamu.edu/" TargetMode="External"/><Relationship Id="rId4" Type="http://schemas.openxmlformats.org/officeDocument/2006/relationships/settings" Target="settings.xml"/><Relationship Id="rId9" Type="http://schemas.openxmlformats.org/officeDocument/2006/relationships/hyperlink" Target="mailto:callaghan@sph.tamhsc.edu" TargetMode="External"/><Relationship Id="rId14" Type="http://schemas.openxmlformats.org/officeDocument/2006/relationships/hyperlink" Target="mailto:helpdesk@tamu.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10B6-01BC-465B-9835-8BFCF1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26093</CharactersWithSpaces>
  <SharedDoc>false</SharedDoc>
  <HLinks>
    <vt:vector size="78" baseType="variant">
      <vt:variant>
        <vt:i4>6422560</vt:i4>
      </vt:variant>
      <vt:variant>
        <vt:i4>370</vt:i4>
      </vt:variant>
      <vt:variant>
        <vt:i4>0</vt:i4>
      </vt:variant>
      <vt:variant>
        <vt:i4>5</vt:i4>
      </vt:variant>
      <vt:variant>
        <vt:lpwstr>http://aggiehonor.tamu.edu/</vt:lpwstr>
      </vt:variant>
      <vt:variant>
        <vt:lpwstr/>
      </vt:variant>
      <vt:variant>
        <vt:i4>6357118</vt:i4>
      </vt:variant>
      <vt:variant>
        <vt:i4>367</vt:i4>
      </vt:variant>
      <vt:variant>
        <vt:i4>0</vt:i4>
      </vt:variant>
      <vt:variant>
        <vt:i4>5</vt:i4>
      </vt:variant>
      <vt:variant>
        <vt:lpwstr>http://srph.tamhsc.edu/academic-affairs/academic-integrity.html</vt:lpwstr>
      </vt:variant>
      <vt:variant>
        <vt:lpwstr/>
      </vt:variant>
      <vt:variant>
        <vt:i4>7077931</vt:i4>
      </vt:variant>
      <vt:variant>
        <vt:i4>364</vt:i4>
      </vt:variant>
      <vt:variant>
        <vt:i4>0</vt:i4>
      </vt:variant>
      <vt:variant>
        <vt:i4>5</vt:i4>
      </vt:variant>
      <vt:variant>
        <vt:lpwstr>http://disability.tamu.edu/</vt:lpwstr>
      </vt:variant>
      <vt:variant>
        <vt:lpwstr/>
      </vt:variant>
      <vt:variant>
        <vt:i4>7536648</vt:i4>
      </vt:variant>
      <vt:variant>
        <vt:i4>361</vt:i4>
      </vt:variant>
      <vt:variant>
        <vt:i4>0</vt:i4>
      </vt:variant>
      <vt:variant>
        <vt:i4>5</vt:i4>
      </vt:variant>
      <vt:variant>
        <vt:lpwstr>mailto:phuong@srph.tamhsc.edu</vt:lpwstr>
      </vt:variant>
      <vt:variant>
        <vt:lpwstr/>
      </vt:variant>
      <vt:variant>
        <vt:i4>3473410</vt:i4>
      </vt:variant>
      <vt:variant>
        <vt:i4>355</vt:i4>
      </vt:variant>
      <vt:variant>
        <vt:i4>0</vt:i4>
      </vt:variant>
      <vt:variant>
        <vt:i4>5</vt:i4>
      </vt:variant>
      <vt:variant>
        <vt:lpwstr>mailto:helpdesk@tamu.edu</vt:lpwstr>
      </vt:variant>
      <vt:variant>
        <vt:lpwstr/>
      </vt:variant>
      <vt:variant>
        <vt:i4>4915313</vt:i4>
      </vt:variant>
      <vt:variant>
        <vt:i4>352</vt:i4>
      </vt:variant>
      <vt:variant>
        <vt:i4>0</vt:i4>
      </vt:variant>
      <vt:variant>
        <vt:i4>5</vt:i4>
      </vt:variant>
      <vt:variant>
        <vt:lpwstr>mailto:helpdesk@tamhsc.edu</vt:lpwstr>
      </vt:variant>
      <vt:variant>
        <vt:lpwstr/>
      </vt:variant>
      <vt:variant>
        <vt:i4>327761</vt:i4>
      </vt:variant>
      <vt:variant>
        <vt:i4>349</vt:i4>
      </vt:variant>
      <vt:variant>
        <vt:i4>0</vt:i4>
      </vt:variant>
      <vt:variant>
        <vt:i4>5</vt:i4>
      </vt:variant>
      <vt:variant>
        <vt:lpwstr>http://www.srph.tamhsc.edu/office-of-distance-education/technical-specifications.html</vt:lpwstr>
      </vt:variant>
      <vt:variant>
        <vt:lpwstr/>
      </vt:variant>
      <vt:variant>
        <vt:i4>4063352</vt:i4>
      </vt:variant>
      <vt:variant>
        <vt:i4>346</vt:i4>
      </vt:variant>
      <vt:variant>
        <vt:i4>0</vt:i4>
      </vt:variant>
      <vt:variant>
        <vt:i4>5</vt:i4>
      </vt:variant>
      <vt:variant>
        <vt:lpwstr>http://www.sph.tamhsc.edu/assessment-instructional/com-requirement.html</vt:lpwstr>
      </vt:variant>
      <vt:variant>
        <vt:lpwstr/>
      </vt:variant>
      <vt:variant>
        <vt:i4>3473410</vt:i4>
      </vt:variant>
      <vt:variant>
        <vt:i4>343</vt:i4>
      </vt:variant>
      <vt:variant>
        <vt:i4>0</vt:i4>
      </vt:variant>
      <vt:variant>
        <vt:i4>5</vt:i4>
      </vt:variant>
      <vt:variant>
        <vt:lpwstr>mailto:helpdesk@tamu.edu</vt:lpwstr>
      </vt:variant>
      <vt:variant>
        <vt:lpwstr/>
      </vt:variant>
      <vt:variant>
        <vt:i4>5439534</vt:i4>
      </vt:variant>
      <vt:variant>
        <vt:i4>340</vt:i4>
      </vt:variant>
      <vt:variant>
        <vt:i4>0</vt:i4>
      </vt:variant>
      <vt:variant>
        <vt:i4>5</vt:i4>
      </vt:variant>
      <vt:variant>
        <vt:lpwstr>mailto:lingsweiler@sph.tamhsc.edu</vt:lpwstr>
      </vt:variant>
      <vt:variant>
        <vt:lpwstr/>
      </vt:variant>
      <vt:variant>
        <vt:i4>1048656</vt:i4>
      </vt:variant>
      <vt:variant>
        <vt:i4>337</vt:i4>
      </vt:variant>
      <vt:variant>
        <vt:i4>0</vt:i4>
      </vt:variant>
      <vt:variant>
        <vt:i4>5</vt:i4>
      </vt:variant>
      <vt:variant>
        <vt:lpwstr>https://help.blackboard.com/en-us/Learn/9.1_2014_04/Instructor</vt:lpwstr>
      </vt:variant>
      <vt:variant>
        <vt:lpwstr/>
      </vt:variant>
      <vt:variant>
        <vt:i4>3145845</vt:i4>
      </vt:variant>
      <vt:variant>
        <vt:i4>334</vt:i4>
      </vt:variant>
      <vt:variant>
        <vt:i4>0</vt:i4>
      </vt:variant>
      <vt:variant>
        <vt:i4>5</vt:i4>
      </vt:variant>
      <vt:variant>
        <vt:lpwstr>https://howdy.tamu.edu/</vt:lpwstr>
      </vt:variant>
      <vt:variant>
        <vt:lpwstr/>
      </vt:variant>
      <vt:variant>
        <vt:i4>655438</vt:i4>
      </vt:variant>
      <vt:variant>
        <vt:i4>331</vt:i4>
      </vt:variant>
      <vt:variant>
        <vt:i4>0</vt:i4>
      </vt:variant>
      <vt:variant>
        <vt:i4>5</vt:i4>
      </vt:variant>
      <vt:variant>
        <vt:lpwstr>http://student-rules.tamu.edu/rule07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dc:creator>
  <cp:lastModifiedBy>Callaghan, Timothy H.</cp:lastModifiedBy>
  <cp:revision>6</cp:revision>
  <cp:lastPrinted>2015-07-22T18:06:00Z</cp:lastPrinted>
  <dcterms:created xsi:type="dcterms:W3CDTF">2018-10-15T15:55:00Z</dcterms:created>
  <dcterms:modified xsi:type="dcterms:W3CDTF">2018-10-16T15:23:00Z</dcterms:modified>
</cp:coreProperties>
</file>